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480" w:after="360"/>
        <w:jc w:val="center"/>
        <w:widowControl/>
      </w:pPr>
      <w:r>
        <w:rPr>
          <w:rFonts w:ascii="Calibri" w:hAnsi="Calibri"/>
          <w:b/>
          <w:color w:val="2E74B5"/>
          <w:sz w:val="21"/>
        </w:rPr>
        <w:t>DOCUMENTO EXPLORATORIO</w:t>
      </w:r>
    </w:p>
    <w:p>
      <w:pPr>
        <w:spacing w:after="240"/>
        <w:jc w:val="center"/>
        <w:widowControl/>
      </w:pPr>
      <w:r>
        <w:rPr>
          <w:rFonts w:ascii="Calibri" w:hAnsi="Calibri"/>
          <w:b/>
          <w:color w:val="0B2545"/>
          <w:sz w:val="56"/>
        </w:rPr>
        <w:t>¿Puede abrirse una puerta</w:t>
        <w:br/>
        <w:t>entre dos puntos de la realidad?</w:t>
      </w:r>
    </w:p>
    <w:p>
      <w:pPr>
        <w:spacing w:after="600"/>
        <w:jc w:val="center"/>
        <w:widowControl/>
      </w:pPr>
      <w:r>
        <w:rPr>
          <w:rFonts w:ascii="Calibri" w:hAnsi="Calibri"/>
          <w:i/>
          <w:color w:val="1F4D78"/>
          <w:sz w:val="30"/>
        </w:rPr>
        <w:t>Una intuición exploratoria sobre continuidad,</w:t>
        <w:br/>
        <w:t>adyacencia y espacio-tiempo</w:t>
      </w:r>
    </w:p>
    <w:p>
      <w:pPr>
        <w:spacing w:before="840" w:after="160"/>
        <w:jc w:val="center"/>
        <w:widowControl/>
      </w:pPr>
      <w:r>
        <w:rPr>
          <w:rFonts w:ascii="Calibri" w:hAnsi="Calibri"/>
          <w:b/>
          <w:color w:val="0B2545"/>
          <w:sz w:val="26"/>
        </w:rPr>
        <w:t>César Medrano</w:t>
      </w:r>
    </w:p>
    <w:p>
      <w:pPr>
        <w:jc w:val="center"/>
        <w:widowControl/>
      </w:pPr>
      <w:r>
        <w:rPr>
          <w:rFonts w:ascii="Calibri" w:hAnsi="Calibri"/>
          <w:color w:val="5A646E"/>
          <w:sz w:val="20"/>
        </w:rPr>
        <w:t>Agosto de 2026  ·  cesar-medrano.com</w:t>
      </w:r>
    </w:p>
    <w:p>
      <w:pPr>
        <w:spacing w:before="1360"/>
        <w:jc w:val="center"/>
        <w:widowControl/>
      </w:pPr>
      <w:r>
        <w:rPr>
          <w:rFonts w:ascii="Calibri" w:hAnsi="Calibri"/>
          <w:b/>
          <w:color w:val="2E74B5"/>
          <w:sz w:val="22"/>
        </w:rPr>
        <w:t>Una pregunta abierta. No una teoría demostrada.</w:t>
      </w:r>
    </w:p>
    <w:p>
      <w:pPr>
        <w:widowControl/>
      </w:pPr>
      <w:r>
        <w:br w:type="page"/>
      </w:r>
    </w:p>
    <w:p>
      <w:pPr>
        <w:pStyle w:val="Heading1"/>
        <w:keepNext/>
        <w:widowControl/>
      </w:pPr>
      <w:r>
        <w:t>Antes de comenzar</w:t>
      </w:r>
    </w:p>
    <w:tbl>
      <w:tblPr>
        <w:tblW w:type="dxa" w:w="9360"/>
        <w:jc w:val="left"/>
        <w:tblLayout w:type="fixed"/>
        <w:tblLook w:firstColumn="1" w:firstRow="1" w:lastColumn="0" w:lastRow="0" w:noHBand="0" w:noVBand="1" w:val="04A0"/>
        <w:tblInd w:w="120" w:type="dxa"/>
      </w:tblPr>
      <w:tblGrid>
        <w:gridCol w:w="9360"/>
      </w:tblGrid>
      <w:tr>
        <w:tc>
          <w:tcPr>
            <w:tcW w:type="dxa" w:w="9360"/>
            <w:tcMar>
              <w:top w:w="80" w:type="dxa"/>
              <w:start w:w="120" w:type="dxa"/>
              <w:bottom w:w="80" w:type="dxa"/>
              <w:end w:w="120" w:type="dxa"/>
            </w:tcMar>
            <w:vAlign w:val="center"/>
            <w:shd w:fill="E8EEF5"/>
          </w:tcPr>
          <w:p>
            <w:pPr>
              <w:spacing w:after="0" w:line="276" w:lineRule="auto"/>
            </w:pPr>
            <w:r>
              <w:rPr>
                <w:rFonts w:ascii="Calibri" w:hAnsi="Calibri"/>
                <w:b/>
                <w:color w:val="1F4D78"/>
                <w:sz w:val="19"/>
              </w:rPr>
              <w:t xml:space="preserve">ALCANCE  </w:t>
            </w:r>
            <w:r>
              <w:rPr>
                <w:rFonts w:ascii="Calibri" w:hAnsi="Calibri"/>
                <w:color w:val="14181C"/>
                <w:sz w:val="21"/>
              </w:rPr>
              <w:t>Este documento no presenta una teoría física demostrada, un mecanismo de teletransporte ni una tecnología en desarrollo. Expone una intuición, reconstruye el recorrido realizado para examinarla y entrega una pregunta abierta a quienes puedan evaluarla con conocimientos especializados.</w:t>
            </w:r>
          </w:p>
        </w:tc>
      </w:tr>
    </w:tbl>
    <w:p>
      <w:pPr>
        <w:spacing w:after="20"/>
        <w:widowControl/>
      </w:pPr>
    </w:p>
    <w:p>
      <w:pPr>
        <w:widowControl/>
      </w:pPr>
      <w:r>
        <w:rPr>
          <w:rFonts w:ascii="Calibri" w:hAnsi="Calibri"/>
          <w:i w:val="0"/>
          <w:color w:val="14181C"/>
        </w:rPr>
        <w:t>La pregunta es sencilla de formular y muy difícil de responder: ¿podrían dos regiones separadas del espacio adquirir, bajo alguna condición física todavía desconocida, una relación directa de adyacencia?</w:t>
      </w:r>
    </w:p>
    <w:p>
      <w:pPr>
        <w:widowControl/>
      </w:pPr>
      <w:r>
        <w:rPr>
          <w:rFonts w:ascii="Calibri" w:hAnsi="Calibri"/>
          <w:i w:val="0"/>
          <w:color w:val="14181C"/>
        </w:rPr>
        <w:t>El trabajo fue desarrollado por César Medrano mediante reflexión personal, diálogo prolongado asistido por inteligencia artificial y consulta de literatura científica. Las analogías no deben confundirse con descripciones físicas; las hipótesis no se presentan como hechos; la inteligencia artificial tampoco se considera una autoridad científica.</w:t>
      </w:r>
    </w:p>
    <w:p>
      <w:pPr>
        <w:widowControl/>
      </w:pPr>
      <w:r>
        <w:rPr>
          <w:rFonts w:ascii="Calibri" w:hAnsi="Calibri"/>
          <w:i w:val="0"/>
          <w:color w:val="14181C"/>
        </w:rPr>
        <w:t>El propósito de publicarlo no es anunciar un descubrimiento, sino permitir que físicos, matemáticos, filósofos de la ciencia, estudiantes o equipos independientes determinen si la pregunta puede reformularse de manera útil, si ya existe un marco equivalente o si debe descartarse mediante un argumento sólido.</w:t>
      </w:r>
    </w:p>
    <w:p>
      <w:pPr>
        <w:pStyle w:val="Heading1"/>
        <w:keepNext/>
        <w:widowControl/>
      </w:pPr>
      <w:r>
        <w:t>1. Una pregunta nacida de una intuición</w:t>
      </w:r>
    </w:p>
    <w:p>
      <w:pPr>
        <w:widowControl/>
      </w:pPr>
      <w:r>
        <w:rPr>
          <w:rFonts w:ascii="Calibri" w:hAnsi="Calibri"/>
          <w:i w:val="0"/>
          <w:color w:val="14181C"/>
        </w:rPr>
        <w:t>Esta investigación no comenzó con una ecuación ni con un experimento. Comenzó con una intuición: si la realidad diferenciada que percibimos procediera de una unidad más profunda, quizá cambiar de localización no exigiría recorrer necesariamente la distancia entre dos puntos.</w:t>
      </w:r>
    </w:p>
    <w:p>
      <w:pPr>
        <w:widowControl/>
      </w:pPr>
      <w:r>
        <w:rPr>
          <w:rFonts w:ascii="Calibri" w:hAnsi="Calibri"/>
          <w:i w:val="0"/>
          <w:color w:val="14181C"/>
        </w:rPr>
        <w:t>La primera imagen fue la de una burbuja dentro de un fluido. La burbuja parece separada, aunque está formada y rodeada por el mismo medio. Después apareció la gota de agua que podría reintegrarse en el mar y manifestarse en otro lugar. Finalmente surgió la imagen más clara: una puerta cuyas dos caras, aunque estuvieran en lugares distantes, pudieran convertirse temporalmente en una sola abertura.</w:t>
      </w:r>
    </w:p>
    <w:tbl>
      <w:tblPr>
        <w:tblW w:type="dxa" w:w="9360"/>
        <w:jc w:val="left"/>
        <w:tblLayout w:type="fixed"/>
        <w:tblLook w:firstColumn="1" w:firstRow="1" w:lastColumn="0" w:lastRow="0" w:noHBand="0" w:noVBand="1" w:val="04A0"/>
        <w:tblInd w:w="120" w:type="dxa"/>
      </w:tblPr>
      <w:tblGrid>
        <w:gridCol w:w="9360"/>
      </w:tblGrid>
      <w:tr>
        <w:tc>
          <w:tcPr>
            <w:tcW w:type="dxa" w:w="9360"/>
            <w:tcMar>
              <w:top w:w="80" w:type="dxa"/>
              <w:start w:w="120" w:type="dxa"/>
              <w:bottom w:w="80" w:type="dxa"/>
              <w:end w:w="120" w:type="dxa"/>
            </w:tcMar>
            <w:vAlign w:val="center"/>
            <w:shd w:fill="F4F6F9"/>
          </w:tcPr>
          <w:p>
            <w:pPr>
              <w:spacing w:after="0" w:line="276" w:lineRule="auto"/>
            </w:pPr>
            <w:r>
              <w:rPr>
                <w:rFonts w:ascii="Calibri" w:hAnsi="Calibri"/>
                <w:b/>
                <w:color w:val="1F4D78"/>
                <w:sz w:val="19"/>
              </w:rPr>
              <w:t xml:space="preserve">ANALOGÍA  </w:t>
            </w:r>
            <w:r>
              <w:rPr>
                <w:rFonts w:ascii="Calibri" w:hAnsi="Calibri"/>
                <w:color w:val="14181C"/>
                <w:sz w:val="21"/>
              </w:rPr>
              <w:t>La burbuja, el océano y la puerta sirven para formular preguntas, no para describir un mecanismo. Todos pertenecen al espacio y al tiempo; por tanto, no pueden representar literalmente una realidad hipotética que estuviera fuera de ambos.</w:t>
            </w:r>
          </w:p>
        </w:tc>
      </w:tr>
    </w:tbl>
    <w:p>
      <w:pPr>
        <w:spacing w:after="20"/>
        <w:widowControl/>
      </w:pPr>
    </w:p>
    <w:p>
      <w:pPr>
        <w:widowControl/>
      </w:pPr>
      <w:r>
        <w:rPr>
          <w:rFonts w:ascii="Calibri" w:hAnsi="Calibri"/>
          <w:i w:val="0"/>
          <w:color w:val="14181C"/>
        </w:rPr>
        <w:t>Esta intuición se desarrolló inicialmente dentro del Modelo de Fulgencia Unitaria (MFU), un marco ontológico que contempla la realidad diferenciada como expresión de una unidad fundamental. En este documento el MFU actúa como inspiración filosófica, no como premisa científica. La pregunta física debe poder entenderse y criticarse sin necesidad de aceptar ese marco.</w:t>
      </w:r>
    </w:p>
    <w:p>
      <w:pPr>
        <w:pStyle w:val="Heading1"/>
        <w:keepNext/>
        <w:widowControl/>
      </w:pPr>
      <w:r>
        <w:t>2. La idea esencial: modificar la adyacencia</w:t>
      </w:r>
    </w:p>
    <w:p>
      <w:pPr>
        <w:widowControl/>
      </w:pPr>
      <w:r>
        <w:rPr>
          <w:rFonts w:ascii="Calibri" w:hAnsi="Calibri"/>
          <w:i w:val="0"/>
          <w:color w:val="14181C"/>
        </w:rPr>
        <w:t>La propuesta no consiste en desintegrar un objeto, enviar su información y fabricar una copia. Tampoco consiste en hacerlo viajar muy deprisa, introducirlo en una dimensión adicional o conducirlo por un túnel oculto.</w:t>
      </w:r>
    </w:p>
    <w:p>
      <w:pPr>
        <w:widowControl/>
      </w:pPr>
      <w:r>
        <w:rPr>
          <w:rFonts w:ascii="Calibri" w:hAnsi="Calibri"/>
          <w:i w:val="0"/>
          <w:color w:val="14181C"/>
        </w:rPr>
        <w:t>La idea mínima es que dos superficies normalmente separadas adquieran continuidad física directa durante un intervalo limitado:</w:t>
      </w:r>
    </w:p>
    <w:tbl>
      <w:tblPr>
        <w:tblW w:type="dxa" w:w="9360"/>
        <w:jc w:val="left"/>
        <w:tblLayout w:type="fixed"/>
        <w:tblLook w:firstColumn="1" w:firstRow="1" w:lastColumn="0" w:lastRow="0" w:noHBand="0" w:noVBand="1" w:val="04A0"/>
        <w:tblInd w:w="120" w:type="dxa"/>
      </w:tblPr>
      <w:tblGrid>
        <w:gridCol w:w="9360"/>
      </w:tblGrid>
      <w:tr>
        <w:tc>
          <w:tcPr>
            <w:tcW w:type="dxa" w:w="9360"/>
            <w:tcMar>
              <w:top w:w="80" w:type="dxa"/>
              <w:start w:w="120" w:type="dxa"/>
              <w:bottom w:w="80" w:type="dxa"/>
              <w:end w:w="120" w:type="dxa"/>
            </w:tcMar>
            <w:vAlign w:val="center"/>
            <w:shd w:fill="F7F9FB"/>
          </w:tcPr>
          <w:p>
            <w:pPr>
              <w:spacing w:after="60"/>
              <w:jc w:val="center"/>
            </w:pPr>
            <w:r>
              <w:rPr>
                <w:rFonts w:ascii="Calibri" w:hAnsi="Calibri"/>
                <w:b w:val="0"/>
                <w:color w:val="0B2545"/>
                <w:sz w:val="24"/>
              </w:rPr>
              <w:t>Estado ordinario:  superficie A no adyacente a superficie B</w:t>
            </w:r>
          </w:p>
          <w:p>
            <w:pPr>
              <w:spacing w:after="60"/>
              <w:jc w:val="center"/>
            </w:pPr>
            <w:r>
              <w:rPr>
                <w:rFonts w:ascii="Calibri" w:hAnsi="Calibri"/>
                <w:b w:val="0"/>
                <w:color w:val="0B2545"/>
                <w:sz w:val="24"/>
              </w:rPr>
              <w:t>Hipótesis:  superficie A  ↔  superficie B</w:t>
            </w:r>
          </w:p>
          <w:p>
            <w:pPr>
              <w:spacing w:after="0"/>
              <w:jc w:val="center"/>
            </w:pPr>
            <w:r>
              <w:rPr>
                <w:rFonts w:ascii="Calibri" w:hAnsi="Calibri"/>
                <w:b/>
                <w:color w:val="0B2545"/>
                <w:sz w:val="24"/>
              </w:rPr>
              <w:t>Resultado buscado: adyacencia directa sin posiciones intermedias observables</w:t>
            </w:r>
          </w:p>
        </w:tc>
      </w:tr>
    </w:tbl>
    <w:p>
      <w:pPr>
        <w:spacing w:after="20"/>
        <w:widowControl/>
      </w:pPr>
    </w:p>
    <w:p>
      <w:pPr>
        <w:widowControl/>
      </w:pPr>
      <w:r>
        <w:rPr>
          <w:rFonts w:ascii="Calibri" w:hAnsi="Calibri"/>
          <w:i w:val="0"/>
          <w:color w:val="14181C"/>
        </w:rPr>
        <w:t>El símbolo no describe un mecanismo conocido. Expresa únicamente el resultado que se intenta pensar: aquello que cruzara una superficie emergería por la otra sin ocupar las posiciones intermedias del espacio ordinario.</w:t>
      </w:r>
    </w:p>
    <w:tbl>
      <w:tblPr>
        <w:tblW w:type="dxa" w:w="9360"/>
        <w:jc w:val="left"/>
        <w:tblLayout w:type="fixed"/>
        <w:tblLook w:firstColumn="1" w:firstRow="1" w:lastColumn="0" w:lastRow="0" w:noHBand="0" w:noVBand="1" w:val="04A0"/>
        <w:tblInd w:w="120" w:type="dxa"/>
      </w:tblPr>
      <w:tblGrid>
        <w:gridCol w:w="9360"/>
      </w:tblGrid>
      <w:tr>
        <w:tc>
          <w:tcPr>
            <w:tcW w:type="dxa" w:w="9360"/>
            <w:tcMar>
              <w:top w:w="80" w:type="dxa"/>
              <w:start w:w="120" w:type="dxa"/>
              <w:bottom w:w="80" w:type="dxa"/>
              <w:end w:w="120" w:type="dxa"/>
            </w:tcMar>
            <w:vAlign w:val="center"/>
            <w:shd w:fill="F4F6F9"/>
          </w:tcPr>
          <w:p>
            <w:pPr>
              <w:spacing w:after="0" w:line="276" w:lineRule="auto"/>
            </w:pPr>
            <w:r>
              <w:rPr>
                <w:rFonts w:ascii="Calibri" w:hAnsi="Calibri"/>
                <w:b/>
                <w:color w:val="1F4D78"/>
                <w:sz w:val="19"/>
              </w:rPr>
              <w:t xml:space="preserve">DEFINICIÓN DE TRABAJO  </w:t>
            </w:r>
            <w:r>
              <w:rPr>
                <w:rFonts w:ascii="Calibri" w:hAnsi="Calibri"/>
                <w:color w:val="14181C"/>
                <w:sz w:val="21"/>
              </w:rPr>
              <w:t>Portal relacional: condición física hipotética, reversible y controlable mediante la cual dos regiones separadas adquieren una relación directa de adyacencia para determinados fenómenos físicos.</w:t>
            </w:r>
          </w:p>
        </w:tc>
      </w:tr>
    </w:tbl>
    <w:p>
      <w:pPr>
        <w:spacing w:after="20"/>
        <w:widowControl/>
      </w:pPr>
    </w:p>
    <w:p>
      <w:pPr>
        <w:spacing w:after="60"/>
        <w:jc w:val="center"/>
        <w:widowControl/>
      </w:pPr>
      <w:r>
        <w:drawing>
          <wp:inline xmlns:a="http://schemas.openxmlformats.org/drawingml/2006/main" xmlns:pic="http://schemas.openxmlformats.org/drawingml/2006/picture">
            <wp:extent cx="5806440" cy="1803475"/>
            <wp:docPr id="1" name="Picture 1"/>
            <wp:cNvGraphicFramePr>
              <a:graphicFrameLocks noChangeAspect="1"/>
            </wp:cNvGraphicFramePr>
            <a:graphic>
              <a:graphicData uri="http://schemas.openxmlformats.org/drawingml/2006/picture">
                <pic:pic>
                  <pic:nvPicPr>
                    <pic:cNvPr id="0" name="figura_portal_relacional.png"/>
                    <pic:cNvPicPr/>
                  </pic:nvPicPr>
                  <pic:blipFill>
                    <a:blip r:embed="rId11"/>
                    <a:stretch>
                      <a:fillRect/>
                    </a:stretch>
                  </pic:blipFill>
                  <pic:spPr>
                    <a:xfrm>
                      <a:off x="0" y="0"/>
                      <a:ext cx="5806440" cy="1803475"/>
                    </a:xfrm>
                    <a:prstGeom prst="rect"/>
                  </pic:spPr>
                </pic:pic>
              </a:graphicData>
            </a:graphic>
          </wp:inline>
        </w:drawing>
      </w:r>
    </w:p>
    <w:p>
      <w:pPr>
        <w:pStyle w:val="Smallnote"/>
        <w:jc w:val="center"/>
        <w:widowControl/>
      </w:pPr>
      <w:r>
        <w:t>Figura 1. Diferencia entre distancia ordinaria y adyacencia hipotética. El diagrama no implica un mecanismo físico.</w:t>
      </w:r>
    </w:p>
    <w:p>
      <w:pPr>
        <w:pStyle w:val="Heading1"/>
        <w:keepNext/>
        <w:widowControl/>
      </w:pPr>
      <w:r>
        <w:t>3. Qué se plantea y qué no se afirma</w:t>
      </w:r>
    </w:p>
    <w:tbl>
      <w:tblPr>
        <w:tblStyle w:val="TableGrid"/>
        <w:tblW w:type="dxa" w:w="9360"/>
        <w:tblLayout w:type="fixed"/>
        <w:tblLook w:firstColumn="1" w:firstRow="1" w:lastColumn="0" w:lastRow="0" w:noHBand="0" w:noVBand="1" w:val="04A0"/>
        <w:jc w:val="left"/>
        <w:tblInd w:w="120" w:type="dxa"/>
      </w:tblPr>
      <w:tblGrid>
        <w:gridCol w:w="4680"/>
        <w:gridCol w:w="4680"/>
      </w:tblGrid>
      <w:tr>
        <w:trPr>
          <w:tblHeader w:val="true"/>
        </w:trPr>
        <w:tc>
          <w:tcPr>
            <w:tcW w:type="dxa" w:w="4680"/>
            <w:tcMar>
              <w:top w:w="80" w:type="dxa"/>
              <w:start w:w="120" w:type="dxa"/>
              <w:bottom w:w="80" w:type="dxa"/>
              <w:end w:w="120" w:type="dxa"/>
            </w:tcMar>
            <w:vAlign w:val="center"/>
            <w:shd w:fill="F4F6F9"/>
          </w:tcPr>
          <w:p>
            <w:pPr>
              <w:spacing w:after="0"/>
            </w:pPr>
            <w:r>
              <w:rPr>
                <w:rFonts w:ascii="Calibri" w:hAnsi="Calibri"/>
                <w:b/>
                <w:color w:val="0B2545"/>
                <w:sz w:val="19"/>
              </w:rPr>
              <w:t>Se plantea como pregunta</w:t>
            </w:r>
          </w:p>
        </w:tc>
        <w:tc>
          <w:tcPr>
            <w:tcW w:type="dxa" w:w="4680"/>
            <w:tcMar>
              <w:top w:w="80" w:type="dxa"/>
              <w:start w:w="120" w:type="dxa"/>
              <w:bottom w:w="80" w:type="dxa"/>
              <w:end w:w="120" w:type="dxa"/>
            </w:tcMar>
            <w:vAlign w:val="center"/>
            <w:shd w:fill="F4F6F9"/>
          </w:tcPr>
          <w:p>
            <w:pPr>
              <w:spacing w:after="0"/>
            </w:pPr>
            <w:r>
              <w:rPr>
                <w:rFonts w:ascii="Calibri" w:hAnsi="Calibri"/>
                <w:b/>
                <w:color w:val="0B2545"/>
                <w:sz w:val="19"/>
              </w:rPr>
              <w:t>No se afirma</w:t>
            </w:r>
          </w:p>
        </w:tc>
      </w:tr>
      <w:tr>
        <w:tc>
          <w:tcPr>
            <w:tcW w:type="dxa" w:w="4680"/>
            <w:tcMar>
              <w:top w:w="80" w:type="dxa"/>
              <w:start w:w="120" w:type="dxa"/>
              <w:bottom w:w="80" w:type="dxa"/>
              <w:end w:w="120" w:type="dxa"/>
            </w:tcMar>
            <w:vAlign w:val="center"/>
          </w:tcPr>
          <w:p>
            <w:pPr>
              <w:spacing w:after="0" w:line="259" w:lineRule="auto"/>
            </w:pPr>
            <w:r>
              <w:rPr>
                <w:rFonts w:ascii="Calibri" w:hAnsi="Calibri"/>
                <w:color w:val="14181C"/>
                <w:sz w:val="18"/>
              </w:rPr>
              <w:t>Si la adyacencia espacial podría ser modificable.</w:t>
            </w:r>
          </w:p>
        </w:tc>
        <w:tc>
          <w:tcPr>
            <w:tcW w:type="dxa" w:w="4680"/>
            <w:tcMar>
              <w:top w:w="80" w:type="dxa"/>
              <w:start w:w="120" w:type="dxa"/>
              <w:bottom w:w="80" w:type="dxa"/>
              <w:end w:w="120" w:type="dxa"/>
            </w:tcMar>
            <w:vAlign w:val="center"/>
          </w:tcPr>
          <w:p>
            <w:pPr>
              <w:spacing w:after="0" w:line="259" w:lineRule="auto"/>
            </w:pPr>
            <w:r>
              <w:rPr>
                <w:rFonts w:ascii="Calibri" w:hAnsi="Calibri"/>
                <w:color w:val="14181C"/>
                <w:sz w:val="18"/>
              </w:rPr>
              <w:t>Que los portales existan.</w:t>
            </w:r>
          </w:p>
        </w:tc>
      </w:tr>
      <w:tr>
        <w:tc>
          <w:tcPr>
            <w:tcW w:type="dxa" w:w="4680"/>
            <w:tcMar>
              <w:top w:w="80" w:type="dxa"/>
              <w:start w:w="120" w:type="dxa"/>
              <w:bottom w:w="80" w:type="dxa"/>
              <w:end w:w="120" w:type="dxa"/>
            </w:tcMar>
            <w:vAlign w:val="center"/>
          </w:tcPr>
          <w:p>
            <w:pPr>
              <w:spacing w:after="0" w:line="259" w:lineRule="auto"/>
            </w:pPr>
            <w:r>
              <w:rPr>
                <w:rFonts w:ascii="Calibri" w:hAnsi="Calibri"/>
                <w:color w:val="14181C"/>
                <w:sz w:val="18"/>
              </w:rPr>
              <w:t>Si podrían existir efectos precursores observables.</w:t>
            </w:r>
          </w:p>
        </w:tc>
        <w:tc>
          <w:tcPr>
            <w:tcW w:type="dxa" w:w="4680"/>
            <w:tcMar>
              <w:top w:w="80" w:type="dxa"/>
              <w:start w:w="120" w:type="dxa"/>
              <w:bottom w:w="80" w:type="dxa"/>
              <w:end w:w="120" w:type="dxa"/>
            </w:tcMar>
            <w:vAlign w:val="center"/>
          </w:tcPr>
          <w:p>
            <w:pPr>
              <w:spacing w:after="0" w:line="259" w:lineRule="auto"/>
            </w:pPr>
            <w:r>
              <w:rPr>
                <w:rFonts w:ascii="Calibri" w:hAnsi="Calibri"/>
                <w:color w:val="14181C"/>
                <w:sz w:val="18"/>
              </w:rPr>
              <w:t>Que se haya encontrado una cerradura física.</w:t>
            </w:r>
          </w:p>
        </w:tc>
      </w:tr>
      <w:tr>
        <w:tc>
          <w:tcPr>
            <w:tcW w:type="dxa" w:w="4680"/>
            <w:tcMar>
              <w:top w:w="80" w:type="dxa"/>
              <w:start w:w="120" w:type="dxa"/>
              <w:bottom w:w="80" w:type="dxa"/>
              <w:end w:w="120" w:type="dxa"/>
            </w:tcMar>
            <w:vAlign w:val="center"/>
          </w:tcPr>
          <w:p>
            <w:pPr>
              <w:spacing w:after="0" w:line="259" w:lineRule="auto"/>
            </w:pPr>
            <w:r>
              <w:rPr>
                <w:rFonts w:ascii="Calibri" w:hAnsi="Calibri"/>
                <w:color w:val="14181C"/>
                <w:sz w:val="18"/>
              </w:rPr>
              <w:t>Si una condición local podría alterar la continuidad.</w:t>
            </w:r>
          </w:p>
        </w:tc>
        <w:tc>
          <w:tcPr>
            <w:tcW w:type="dxa" w:w="4680"/>
            <w:tcMar>
              <w:top w:w="80" w:type="dxa"/>
              <w:start w:w="120" w:type="dxa"/>
              <w:bottom w:w="80" w:type="dxa"/>
              <w:end w:w="120" w:type="dxa"/>
            </w:tcMar>
            <w:vAlign w:val="center"/>
          </w:tcPr>
          <w:p>
            <w:pPr>
              <w:spacing w:after="0" w:line="259" w:lineRule="auto"/>
            </w:pPr>
            <w:r>
              <w:rPr>
                <w:rFonts w:ascii="Calibri" w:hAnsi="Calibri"/>
                <w:color w:val="14181C"/>
                <w:sz w:val="18"/>
              </w:rPr>
              <w:t>Que una frecuencia concreta abra puertas.</w:t>
            </w:r>
          </w:p>
        </w:tc>
      </w:tr>
      <w:tr>
        <w:tc>
          <w:tcPr>
            <w:tcW w:type="dxa" w:w="4680"/>
            <w:tcMar>
              <w:top w:w="80" w:type="dxa"/>
              <w:start w:w="120" w:type="dxa"/>
              <w:bottom w:w="80" w:type="dxa"/>
              <w:end w:w="120" w:type="dxa"/>
            </w:tcMar>
            <w:vAlign w:val="center"/>
          </w:tcPr>
          <w:p>
            <w:pPr>
              <w:spacing w:after="0" w:line="259" w:lineRule="auto"/>
            </w:pPr>
            <w:r>
              <w:rPr>
                <w:rFonts w:ascii="Calibri" w:hAnsi="Calibri"/>
                <w:color w:val="14181C"/>
                <w:sz w:val="18"/>
              </w:rPr>
              <w:t>Si la geometría puede poseer una capa relacional más profunda.</w:t>
            </w:r>
          </w:p>
        </w:tc>
        <w:tc>
          <w:tcPr>
            <w:tcW w:type="dxa" w:w="4680"/>
            <w:tcMar>
              <w:top w:w="80" w:type="dxa"/>
              <w:start w:w="120" w:type="dxa"/>
              <w:bottom w:w="80" w:type="dxa"/>
              <w:end w:w="120" w:type="dxa"/>
            </w:tcMar>
            <w:vAlign w:val="center"/>
          </w:tcPr>
          <w:p>
            <w:pPr>
              <w:spacing w:after="0" w:line="259" w:lineRule="auto"/>
            </w:pPr>
            <w:r>
              <w:rPr>
                <w:rFonts w:ascii="Calibri" w:hAnsi="Calibri"/>
                <w:color w:val="14181C"/>
                <w:sz w:val="18"/>
              </w:rPr>
              <w:t>Que el MFU sea una teoría científica confirmada.</w:t>
            </w:r>
          </w:p>
        </w:tc>
      </w:tr>
      <w:tr>
        <w:tc>
          <w:tcPr>
            <w:tcW w:type="dxa" w:w="4680"/>
            <w:tcMar>
              <w:top w:w="80" w:type="dxa"/>
              <w:start w:w="120" w:type="dxa"/>
              <w:bottom w:w="80" w:type="dxa"/>
              <w:end w:w="120" w:type="dxa"/>
            </w:tcMar>
            <w:vAlign w:val="center"/>
          </w:tcPr>
          <w:p>
            <w:pPr>
              <w:spacing w:after="0" w:line="259" w:lineRule="auto"/>
            </w:pPr>
            <w:r>
              <w:rPr>
                <w:rFonts w:ascii="Calibri" w:hAnsi="Calibri"/>
                <w:color w:val="14181C"/>
                <w:sz w:val="18"/>
              </w:rPr>
              <w:t>Si especialistas pueden reformular o refutar la intuición.</w:t>
            </w:r>
          </w:p>
        </w:tc>
        <w:tc>
          <w:tcPr>
            <w:tcW w:type="dxa" w:w="4680"/>
            <w:tcMar>
              <w:top w:w="80" w:type="dxa"/>
              <w:start w:w="120" w:type="dxa"/>
              <w:bottom w:w="80" w:type="dxa"/>
              <w:end w:w="120" w:type="dxa"/>
            </w:tcMar>
            <w:vAlign w:val="center"/>
          </w:tcPr>
          <w:p>
            <w:pPr>
              <w:spacing w:after="0" w:line="259" w:lineRule="auto"/>
            </w:pPr>
            <w:r>
              <w:rPr>
                <w:rFonts w:ascii="Calibri" w:hAnsi="Calibri"/>
                <w:color w:val="14181C"/>
                <w:sz w:val="18"/>
              </w:rPr>
              <w:t>Que exista ya un diseño experimental válido.</w:t>
            </w:r>
          </w:p>
        </w:tc>
      </w:tr>
    </w:tbl>
    <w:p>
      <w:pPr>
        <w:spacing w:after="20"/>
        <w:widowControl/>
      </w:pPr>
    </w:p>
    <w:p>
      <w:pPr>
        <w:widowControl/>
      </w:pPr>
      <w:r>
        <w:rPr>
          <w:rFonts w:ascii="Calibri" w:hAnsi="Calibri"/>
          <w:i w:val="0"/>
          <w:color w:val="14181C"/>
        </w:rPr>
        <w:t>El término teletransporte puede resultar engañoso. La hipótesis no busca transportar algo a través de una distancia, sino preguntar si esa distancia podría dejar de intervenir temporalmente en la relación entre dos fronteras.</w:t>
      </w:r>
    </w:p>
    <w:p>
      <w:pPr>
        <w:pStyle w:val="Heading1"/>
        <w:keepNext/>
        <w:widowControl/>
      </w:pPr>
      <w:r>
        <w:t>4. El recorrido realizado</w:t>
      </w:r>
    </w:p>
    <w:p>
      <w:pPr>
        <w:widowControl/>
      </w:pPr>
      <w:r>
        <w:rPr>
          <w:rFonts w:ascii="Calibri" w:hAnsi="Calibri"/>
          <w:i w:val="0"/>
          <w:color w:val="14181C"/>
        </w:rPr>
        <w:t>El recorrido no avanzó en línea recta. Se exploraron posibilidades, se detectaron confusiones y se corrigió varias veces la pregunta. Su valor no está en haber acumulado respuestas, sino en haber eliminado formulaciones que parecían atractivas pero no representaban la intuición original.</w:t>
      </w:r>
    </w:p>
    <w:p>
      <w:pPr>
        <w:pStyle w:val="Heading2"/>
        <w:keepNext/>
        <w:widowControl/>
      </w:pPr>
      <w:r>
        <w:t>4.1 De la relocalización al problema del destino</w:t>
      </w:r>
    </w:p>
    <w:p>
      <w:pPr>
        <w:widowControl/>
      </w:pPr>
      <w:r>
        <w:rPr>
          <w:rFonts w:ascii="Calibri" w:hAnsi="Calibri"/>
          <w:i w:val="0"/>
          <w:color w:val="14181C"/>
        </w:rPr>
        <w:t>Al principio se examinaron variables que cambian entre una localización A y otra B: gravedad, movimiento, orientación, temperatura, presión, campos electromagnéticos, radiación y entorno material. También se consideraron firmas gravitatorias, neutrinos y otras posibles referencias naturales.</w:t>
      </w:r>
    </w:p>
    <w:p>
      <w:pPr>
        <w:widowControl/>
      </w:pPr>
      <w:r>
        <w:rPr>
          <w:rFonts w:ascii="Calibri" w:hAnsi="Calibri"/>
          <w:i w:val="0"/>
          <w:color w:val="14181C"/>
        </w:rPr>
        <w:t>La conclusión fue que muchas de esas variables describen el ambiente y la compatibilidad del destino, pero no funcionan como una matrícula exclusiva de un lugar. La aparición de estaciones identificadas, coordenadas, sincronización y balizas permitió separar dos problemas: seleccionar el destino y producir la apertura. Si el mecanismo físico existiera, el direccionamiento podría abordarse probablemente con tecnología convencional.</w:t>
      </w:r>
    </w:p>
    <w:p>
      <w:pPr>
        <w:pStyle w:val="Heading2"/>
        <w:keepNext/>
        <w:widowControl/>
      </w:pPr>
      <w:r>
        <w:t>4.2 Del transporte a la adyacencia</w:t>
      </w:r>
    </w:p>
    <w:p>
      <w:pPr>
        <w:widowControl/>
      </w:pPr>
      <w:r>
        <w:rPr>
          <w:rFonts w:ascii="Calibri" w:hAnsi="Calibri"/>
          <w:i w:val="0"/>
          <w:color w:val="14181C"/>
        </w:rPr>
        <w:t>Se estudiaron después resonadores, transferencia de excitaciones, entrelazamiento, acoplamientos entre dos sistemas, pasaje por estados oscuros y modelos A-B-C. Estas herramientas son útiles para estudiar transferencia de estados, pero siguen suponiendo que algo se propaga o se intercambia dentro de una estructura física conocida.</w:t>
      </w:r>
    </w:p>
    <w:p>
      <w:pPr>
        <w:widowControl/>
      </w:pPr>
      <w:r>
        <w:rPr>
          <w:rFonts w:ascii="Calibri" w:hAnsi="Calibri"/>
          <w:i w:val="0"/>
          <w:color w:val="14181C"/>
        </w:rPr>
        <w:t>La intuición original exigía otra formulación: no trasladar una entidad a través de un medio, sino modificar la relación que hace que dos regiones estén separadas. Esta corrección devolvió el proyecto a la imagen de la puerta.</w:t>
      </w:r>
    </w:p>
    <w:p>
      <w:pPr>
        <w:pStyle w:val="Heading2"/>
        <w:keepNext/>
        <w:widowControl/>
      </w:pPr>
      <w:r>
        <w:t>4.3 Del sustrato a lo observable</w:t>
      </w:r>
    </w:p>
    <w:p>
      <w:pPr>
        <w:widowControl/>
      </w:pPr>
      <w:r>
        <w:rPr>
          <w:rFonts w:ascii="Calibri" w:hAnsi="Calibri"/>
          <w:i w:val="0"/>
          <w:color w:val="14181C"/>
        </w:rPr>
        <w:t>Durante una etapa se intentó describir un sustrato no material, no espacial y no temporal. Finalmente se reconoció que, por definición, no sería directamente medible desde nuestra realidad. Hablar de viajar por él, vibrar dentro de él o recorrerlo introducía de nuevo espacio y tiempo allí donde se habían negado.</w:t>
      </w:r>
    </w:p>
    <w:p>
      <w:pPr>
        <w:widowControl/>
      </w:pPr>
      <w:r>
        <w:rPr>
          <w:rFonts w:ascii="Calibri" w:hAnsi="Calibri"/>
          <w:i w:val="0"/>
          <w:color w:val="14181C"/>
        </w:rPr>
        <w:t>El sustrato quedó entonces como interpretación opcional. La investigación se redujo a lo que podría observarse desde nuestro lado: condiciones aplicadas, respuesta medida, reversibilidad, conservación y descarte de explicaciones convencionales.</w:t>
      </w:r>
    </w:p>
    <w:tbl>
      <w:tblPr>
        <w:tblW w:type="dxa" w:w="9360"/>
        <w:jc w:val="left"/>
        <w:tblLayout w:type="fixed"/>
        <w:tblLook w:firstColumn="1" w:firstRow="1" w:lastColumn="0" w:lastRow="0" w:noHBand="0" w:noVBand="1" w:val="04A0"/>
        <w:tblInd w:w="120" w:type="dxa"/>
      </w:tblPr>
      <w:tblGrid>
        <w:gridCol w:w="9360"/>
      </w:tblGrid>
      <w:tr>
        <w:tc>
          <w:tcPr>
            <w:tcW w:type="dxa" w:w="9360"/>
            <w:tcMar>
              <w:top w:w="80" w:type="dxa"/>
              <w:start w:w="120" w:type="dxa"/>
              <w:bottom w:w="80" w:type="dxa"/>
              <w:end w:w="120" w:type="dxa"/>
            </w:tcMar>
            <w:vAlign w:val="center"/>
            <w:shd w:fill="F4F6F9"/>
          </w:tcPr>
          <w:p>
            <w:pPr>
              <w:spacing w:after="0" w:line="276" w:lineRule="auto"/>
            </w:pPr>
            <w:r>
              <w:rPr>
                <w:rFonts w:ascii="Calibri" w:hAnsi="Calibri"/>
                <w:b/>
                <w:color w:val="1F4D78"/>
                <w:sz w:val="19"/>
              </w:rPr>
              <w:t xml:space="preserve">DEPURACIÓN PRINCIPAL  </w:t>
            </w:r>
            <w:r>
              <w:rPr>
                <w:rFonts w:ascii="Calibri" w:hAnsi="Calibri"/>
                <w:color w:val="14181C"/>
                <w:sz w:val="21"/>
              </w:rPr>
              <w:t>La pregunta final ya no es qué existe detrás de la realidad, sino si la relación de adyacencia entre regiones puede modificarse físicamente.</w:t>
            </w:r>
          </w:p>
        </w:tc>
      </w:tr>
    </w:tbl>
    <w:p>
      <w:pPr>
        <w:spacing w:after="20"/>
        <w:widowControl/>
      </w:pPr>
    </w:p>
    <w:p>
      <w:pPr>
        <w:pStyle w:val="Heading1"/>
        <w:keepNext/>
        <w:widowControl/>
      </w:pPr>
      <w:r>
        <w:t>5. Qué ofrece la física conocida</w:t>
      </w:r>
    </w:p>
    <w:p>
      <w:pPr>
        <w:widowControl/>
      </w:pPr>
      <w:r>
        <w:rPr>
          <w:rFonts w:ascii="Calibri" w:hAnsi="Calibri"/>
          <w:i w:val="0"/>
          <w:color w:val="14181C"/>
        </w:rPr>
        <w:t>La literatura científica contiene fenómenos que rozan partes de la pregunta, pero ninguno ha producido una puerta, una discontinuidad o un cambio controlado de conectividad del espacio-tiempo real.</w:t>
      </w:r>
    </w:p>
    <w:p>
      <w:pPr>
        <w:pStyle w:val="Heading2"/>
        <w:keepNext/>
        <w:widowControl/>
      </w:pPr>
      <w:r>
        <w:t>5.1 Cambios reales de la geometría</w:t>
      </w:r>
    </w:p>
    <w:p>
      <w:pPr>
        <w:widowControl/>
      </w:pPr>
      <w:r>
        <w:rPr>
          <w:rFonts w:ascii="Calibri" w:hAnsi="Calibri"/>
          <w:i w:val="0"/>
          <w:color w:val="14181C"/>
        </w:rPr>
        <w:t>La relatividad general establece que masa y energía modifican la geometría del espacio-tiempo. Interferómetros atómicos han medido en laboratorio curvatura y fuerzas de marea generadas por masas próximas. Las ondas gravitatorias constituyen perturbaciones reales de la métrica y han sido detectadas por LIGO. Sin embargo, los cambios controlables de laboratorio son extraordinariamente pequeños y continuos; no producen brechas ni nuevas adyacencias.</w:t>
      </w:r>
    </w:p>
    <w:p>
      <w:pPr>
        <w:pStyle w:val="Heading2"/>
        <w:keepNext/>
        <w:widowControl/>
      </w:pPr>
      <w:r>
        <w:t>5.2 Vacío cuántico y condiciones de frontera</w:t>
      </w:r>
    </w:p>
    <w:p>
      <w:pPr>
        <w:widowControl/>
      </w:pPr>
      <w:r>
        <w:rPr>
          <w:rFonts w:ascii="Calibri" w:hAnsi="Calibri"/>
          <w:i w:val="0"/>
          <w:color w:val="14181C"/>
        </w:rPr>
        <w:t>El efecto Casimir demuestra que las fronteras materiales modifican los modos permitidos de los campos cuánticos. El Casimir dinámico muestra además que una frontera modulada rápidamente puede convertir fluctuaciones del vacío en fotones observables. Son resultados reales y relevantes para pensar el papel de las fronteras, pero no han mostrado alteración de la topología ni de la conectividad espacial.</w:t>
      </w:r>
    </w:p>
    <w:p>
      <w:pPr>
        <w:pStyle w:val="Heading2"/>
        <w:keepNext/>
        <w:widowControl/>
      </w:pPr>
      <w:r>
        <w:t>5.3 Geometrías efectivas y simulaciones</w:t>
      </w:r>
    </w:p>
    <w:p>
      <w:pPr>
        <w:widowControl/>
      </w:pPr>
      <w:r>
        <w:rPr>
          <w:rFonts w:ascii="Calibri" w:hAnsi="Calibri"/>
          <w:i w:val="0"/>
          <w:color w:val="14181C"/>
        </w:rPr>
        <w:t>Condensados de Bose-Einstein, metamateriales y sistemas ópticos permiten construir métricas efectivas y horizontes para determinadas excitaciones. También se ha simulado en procesadores cuánticos una dinámica matemáticamente equivalente a ciertos modelos de agujero de gusano. Ninguno de estos experimentos abrió una ruptura en el espacio-tiempo del laboratorio.</w:t>
      </w:r>
    </w:p>
    <w:p>
      <w:pPr>
        <w:pStyle w:val="Heading2"/>
        <w:keepNext/>
        <w:widowControl/>
      </w:pPr>
      <w:r>
        <w:t>5.4 Wormholes y cambio topológico</w:t>
      </w:r>
    </w:p>
    <w:p>
      <w:pPr>
        <w:widowControl/>
      </w:pPr>
      <w:r>
        <w:rPr>
          <w:rFonts w:ascii="Calibri" w:hAnsi="Calibri"/>
          <w:i w:val="0"/>
          <w:color w:val="14181C"/>
        </w:rPr>
        <w:t>La relatividad y algunos modelos de gravedad cuántica admiten soluciones denominadas agujeros de gusano. Las versiones atravesables requieren condiciones extraordinarias y suelen implicar energía negativa o violaciones restringidas de condiciones de energía. Los cambios de topología presentan además obstáculos de causalidad y estabilidad. No existe una realización experimental reproducida.</w:t>
      </w:r>
    </w:p>
    <w:p>
      <w:pPr>
        <w:pStyle w:val="Heading1"/>
        <w:keepNext/>
        <w:widowControl/>
      </w:pPr>
      <w:r>
        <w:t>6. La cerradura y el picaporte</w:t>
      </w:r>
    </w:p>
    <w:p>
      <w:pPr>
        <w:widowControl/>
      </w:pPr>
      <w:r>
        <w:rPr>
          <w:rFonts w:ascii="Calibri" w:hAnsi="Calibri"/>
          <w:i w:val="0"/>
          <w:color w:val="14181C"/>
        </w:rPr>
        <w:t>Antes de diseñar una puerta es necesario averiguar si existe algo susceptible de abrirse. Esta es la formulación más sencilla alcanzada por el proyecto.</w:t>
      </w:r>
    </w:p>
    <w:p>
      <w:pPr>
        <w:pStyle w:val="ListBullet"/>
        <w:spacing w:after="80" w:line="290" w:lineRule="auto"/>
        <w:ind w:left="540" w:hanging="279"/>
        <w:widowControl/>
      </w:pPr>
      <w:r>
        <w:rPr>
          <w:rFonts w:ascii="Calibri" w:hAnsi="Calibri"/>
          <w:color w:val="14181C"/>
        </w:rPr>
        <w:t>La cerradura sería alguna propiedad física responsable de que una región conserve su continuidad ordinaria con el espacio circundante.</w:t>
      </w:r>
    </w:p>
    <w:p>
      <w:pPr>
        <w:pStyle w:val="ListBullet"/>
        <w:spacing w:after="80" w:line="290" w:lineRule="auto"/>
        <w:ind w:left="540" w:hanging="279"/>
        <w:widowControl/>
      </w:pPr>
      <w:r>
        <w:rPr>
          <w:rFonts w:ascii="Calibri" w:hAnsi="Calibri"/>
          <w:color w:val="14181C"/>
        </w:rPr>
        <w:t>El picaporte sería una condición controlable capaz de modificar esa propiedad.</w:t>
      </w:r>
    </w:p>
    <w:p>
      <w:pPr>
        <w:pStyle w:val="ListBullet"/>
        <w:spacing w:after="80" w:line="290" w:lineRule="auto"/>
        <w:ind w:left="540" w:hanging="279"/>
        <w:widowControl/>
      </w:pPr>
      <w:r>
        <w:rPr>
          <w:rFonts w:ascii="Calibri" w:hAnsi="Calibri"/>
          <w:color w:val="14181C"/>
        </w:rPr>
        <w:t>La apertura sería una desviación reproducible y reversible que no pudiera reducirse a calor, vibración, óptica, electromagnetismo o mecánica convencionales.</w:t>
      </w:r>
    </w:p>
    <w:p>
      <w:pPr>
        <w:widowControl/>
      </w:pPr>
      <w:r>
        <w:rPr>
          <w:rFonts w:ascii="Calibri" w:hAnsi="Calibri"/>
          <w:i w:val="0"/>
          <w:color w:val="14181C"/>
        </w:rPr>
        <w:t>Puede utilizarse un símbolo provisional, κ, para nombrar aquello que todavía no sabemos definir:</w:t>
      </w:r>
    </w:p>
    <w:tbl>
      <w:tblPr>
        <w:tblW w:type="dxa" w:w="9360"/>
        <w:jc w:val="left"/>
        <w:tblLayout w:type="fixed"/>
        <w:tblLook w:firstColumn="1" w:firstRow="1" w:lastColumn="0" w:lastRow="0" w:noHBand="0" w:noVBand="1" w:val="04A0"/>
        <w:tblInd w:w="120" w:type="dxa"/>
      </w:tblPr>
      <w:tblGrid>
        <w:gridCol w:w="9360"/>
      </w:tblGrid>
      <w:tr>
        <w:tc>
          <w:tcPr>
            <w:tcW w:type="dxa" w:w="9360"/>
            <w:tcMar>
              <w:top w:w="80" w:type="dxa"/>
              <w:start w:w="120" w:type="dxa"/>
              <w:bottom w:w="80" w:type="dxa"/>
              <w:end w:w="120" w:type="dxa"/>
            </w:tcMar>
            <w:vAlign w:val="center"/>
            <w:shd w:fill="F7F9FB"/>
          </w:tcPr>
          <w:p>
            <w:pPr>
              <w:spacing w:after="60"/>
              <w:jc w:val="center"/>
            </w:pPr>
            <w:r>
              <w:rPr>
                <w:rFonts w:ascii="Calibri" w:hAnsi="Calibri"/>
                <w:b w:val="0"/>
                <w:color w:val="0B2545"/>
                <w:sz w:val="24"/>
              </w:rPr>
              <w:t>κ = 0   comportamiento espacial ordinario</w:t>
            </w:r>
          </w:p>
          <w:p>
            <w:pPr>
              <w:spacing w:after="0"/>
              <w:jc w:val="center"/>
            </w:pPr>
            <w:r>
              <w:rPr>
                <w:rFonts w:ascii="Calibri" w:hAnsi="Calibri"/>
                <w:b/>
                <w:color w:val="0B2545"/>
                <w:sz w:val="24"/>
              </w:rPr>
              <w:t>κ ≠ 0   desviación hipotética de la continuidad local</w:t>
            </w:r>
          </w:p>
        </w:tc>
      </w:tr>
    </w:tbl>
    <w:p>
      <w:pPr>
        <w:spacing w:after="20"/>
        <w:widowControl/>
      </w:pPr>
    </w:p>
    <w:tbl>
      <w:tblPr>
        <w:tblW w:type="dxa" w:w="9360"/>
        <w:jc w:val="left"/>
        <w:tblLayout w:type="fixed"/>
        <w:tblLook w:firstColumn="1" w:firstRow="1" w:lastColumn="0" w:lastRow="0" w:noHBand="0" w:noVBand="1" w:val="04A0"/>
        <w:tblInd w:w="120" w:type="dxa"/>
      </w:tblPr>
      <w:tblGrid>
        <w:gridCol w:w="9360"/>
      </w:tblGrid>
      <w:tr>
        <w:tc>
          <w:tcPr>
            <w:tcW w:type="dxa" w:w="9360"/>
            <w:tcMar>
              <w:top w:w="80" w:type="dxa"/>
              <w:start w:w="120" w:type="dxa"/>
              <w:bottom w:w="80" w:type="dxa"/>
              <w:end w:w="120" w:type="dxa"/>
            </w:tcMar>
            <w:vAlign w:val="center"/>
            <w:shd w:fill="F4F6F9"/>
          </w:tcPr>
          <w:p>
            <w:pPr>
              <w:spacing w:after="0" w:line="276" w:lineRule="auto"/>
            </w:pPr>
            <w:r>
              <w:rPr>
                <w:rFonts w:ascii="Calibri" w:hAnsi="Calibri"/>
                <w:b/>
                <w:color w:val="1F4D78"/>
                <w:sz w:val="19"/>
              </w:rPr>
              <w:t xml:space="preserve">ADVERTENCIA  </w:t>
            </w:r>
            <w:r>
              <w:rPr>
                <w:rFonts w:ascii="Calibri" w:hAnsi="Calibri"/>
                <w:color w:val="14181C"/>
                <w:sz w:val="21"/>
              </w:rPr>
              <w:t>κ no es una magnitud física descubierta. Es únicamente un marcador conceptual del fenómeno que tendría que identificarse.</w:t>
            </w:r>
          </w:p>
        </w:tc>
      </w:tr>
    </w:tbl>
    <w:p>
      <w:pPr>
        <w:spacing w:after="20"/>
        <w:widowControl/>
      </w:pPr>
    </w:p>
    <w:p>
      <w:pPr>
        <w:widowControl/>
      </w:pPr>
      <w:r>
        <w:rPr>
          <w:rFonts w:ascii="Calibri" w:hAnsi="Calibri"/>
          <w:i w:val="0"/>
          <w:color w:val="14181C"/>
        </w:rPr>
        <w:t>Las tres preguntas rectoras son:</w:t>
      </w:r>
    </w:p>
    <w:p>
      <w:pPr>
        <w:pStyle w:val="ListNumber"/>
        <w:spacing w:after="80" w:line="290" w:lineRule="auto"/>
        <w:ind w:left="540" w:hanging="279"/>
        <w:widowControl/>
      </w:pPr>
      <w:r>
        <w:rPr>
          <w:rFonts w:ascii="Calibri" w:hAnsi="Calibri"/>
          <w:color w:val="14181C"/>
        </w:rPr>
        <w:t>¿Existe algún observable que represente un cambio incipiente en la adyacencia?</w:t>
      </w:r>
    </w:p>
    <w:p>
      <w:pPr>
        <w:pStyle w:val="ListNumber"/>
        <w:spacing w:after="80" w:line="290" w:lineRule="auto"/>
        <w:ind w:left="540" w:hanging="279"/>
        <w:widowControl/>
      </w:pPr>
      <w:r>
        <w:rPr>
          <w:rFonts w:ascii="Calibri" w:hAnsi="Calibri"/>
          <w:color w:val="14181C"/>
        </w:rPr>
        <w:t>¿Puede una excitación controlada modificarlo de forma predicha?</w:t>
      </w:r>
    </w:p>
    <w:p>
      <w:pPr>
        <w:pStyle w:val="ListNumber"/>
        <w:spacing w:after="80" w:line="290" w:lineRule="auto"/>
        <w:ind w:left="540" w:hanging="279"/>
        <w:widowControl/>
      </w:pPr>
      <w:r>
        <w:rPr>
          <w:rFonts w:ascii="Calibri" w:hAnsi="Calibri"/>
          <w:color w:val="14181C"/>
        </w:rPr>
        <w:t>¿Cómo distinguirlo de todos los efectos convencionales del dispositivo?</w:t>
      </w:r>
    </w:p>
    <w:p>
      <w:pPr>
        <w:pStyle w:val="Heading1"/>
        <w:keepNext/>
        <w:widowControl/>
      </w:pPr>
      <w:r>
        <w:t>7. Vías examinadas y estado actual</w:t>
      </w:r>
    </w:p>
    <w:tbl>
      <w:tblPr>
        <w:tblStyle w:val="TableGrid"/>
        <w:tblW w:type="dxa" w:w="9360"/>
        <w:tblLayout w:type="fixed"/>
        <w:tblLook w:firstColumn="1" w:firstRow="1" w:lastColumn="0" w:lastRow="0" w:noHBand="0" w:noVBand="1" w:val="04A0"/>
        <w:jc w:val="left"/>
        <w:tblInd w:w="120" w:type="dxa"/>
      </w:tblPr>
      <w:tblGrid>
        <w:gridCol w:w="1700"/>
        <w:gridCol w:w="3000"/>
        <w:gridCol w:w="4660"/>
      </w:tblGrid>
      <w:tr>
        <w:trPr>
          <w:tblHeader w:val="true"/>
        </w:trPr>
        <w:tc>
          <w:tcPr>
            <w:tcW w:type="dxa" w:w="1700"/>
            <w:tcMar>
              <w:top w:w="80" w:type="dxa"/>
              <w:start w:w="120" w:type="dxa"/>
              <w:bottom w:w="80" w:type="dxa"/>
              <w:end w:w="120" w:type="dxa"/>
            </w:tcMar>
            <w:vAlign w:val="center"/>
            <w:shd w:fill="F4F6F9"/>
          </w:tcPr>
          <w:p>
            <w:pPr>
              <w:spacing w:after="0"/>
            </w:pPr>
            <w:r>
              <w:rPr>
                <w:rFonts w:ascii="Calibri" w:hAnsi="Calibri"/>
                <w:b/>
                <w:color w:val="0B2545"/>
                <w:sz w:val="19"/>
              </w:rPr>
              <w:t>Línea</w:t>
            </w:r>
          </w:p>
        </w:tc>
        <w:tc>
          <w:tcPr>
            <w:tcW w:type="dxa" w:w="3000"/>
            <w:tcMar>
              <w:top w:w="80" w:type="dxa"/>
              <w:start w:w="120" w:type="dxa"/>
              <w:bottom w:w="80" w:type="dxa"/>
              <w:end w:w="120" w:type="dxa"/>
            </w:tcMar>
            <w:vAlign w:val="center"/>
            <w:shd w:fill="F4F6F9"/>
          </w:tcPr>
          <w:p>
            <w:pPr>
              <w:spacing w:after="0"/>
            </w:pPr>
            <w:r>
              <w:rPr>
                <w:rFonts w:ascii="Calibri" w:hAnsi="Calibri"/>
                <w:b/>
                <w:color w:val="0B2545"/>
                <w:sz w:val="19"/>
              </w:rPr>
              <w:t>Qué aporta</w:t>
            </w:r>
          </w:p>
        </w:tc>
        <w:tc>
          <w:tcPr>
            <w:tcW w:type="dxa" w:w="4660"/>
            <w:tcMar>
              <w:top w:w="80" w:type="dxa"/>
              <w:start w:w="120" w:type="dxa"/>
              <w:bottom w:w="80" w:type="dxa"/>
              <w:end w:w="120" w:type="dxa"/>
            </w:tcMar>
            <w:vAlign w:val="center"/>
            <w:shd w:fill="F4F6F9"/>
          </w:tcPr>
          <w:p>
            <w:pPr>
              <w:spacing w:after="0"/>
            </w:pPr>
            <w:r>
              <w:rPr>
                <w:rFonts w:ascii="Calibri" w:hAnsi="Calibri"/>
                <w:b/>
                <w:color w:val="0B2545"/>
                <w:sz w:val="19"/>
              </w:rPr>
              <w:t>Por qué no resuelve hoy el problema</w:t>
            </w:r>
          </w:p>
        </w:tc>
      </w:tr>
      <w:tr>
        <w:tc>
          <w:tcPr>
            <w:tcW w:type="dxa" w:w="1700"/>
            <w:tcMar>
              <w:top w:w="80" w:type="dxa"/>
              <w:start w:w="120" w:type="dxa"/>
              <w:bottom w:w="80" w:type="dxa"/>
              <w:end w:w="120" w:type="dxa"/>
            </w:tcMar>
            <w:vAlign w:val="center"/>
          </w:tcPr>
          <w:p>
            <w:pPr>
              <w:spacing w:after="0" w:line="259" w:lineRule="auto"/>
            </w:pPr>
            <w:r>
              <w:rPr>
                <w:rFonts w:ascii="Calibri" w:hAnsi="Calibri"/>
                <w:color w:val="14181C"/>
                <w:sz w:val="18"/>
              </w:rPr>
              <w:t>Gravedad</w:t>
            </w:r>
          </w:p>
        </w:tc>
        <w:tc>
          <w:tcPr>
            <w:tcW w:type="dxa" w:w="3000"/>
            <w:tcMar>
              <w:top w:w="80" w:type="dxa"/>
              <w:start w:w="120" w:type="dxa"/>
              <w:bottom w:w="80" w:type="dxa"/>
              <w:end w:w="120" w:type="dxa"/>
            </w:tcMar>
            <w:vAlign w:val="center"/>
          </w:tcPr>
          <w:p>
            <w:pPr>
              <w:spacing w:after="0" w:line="259" w:lineRule="auto"/>
            </w:pPr>
            <w:r>
              <w:rPr>
                <w:rFonts w:ascii="Calibri" w:hAnsi="Calibri"/>
                <w:color w:val="14181C"/>
                <w:sz w:val="18"/>
              </w:rPr>
              <w:t>Modifica realmente la métrica.</w:t>
            </w:r>
          </w:p>
        </w:tc>
        <w:tc>
          <w:tcPr>
            <w:tcW w:type="dxa" w:w="4660"/>
            <w:tcMar>
              <w:top w:w="80" w:type="dxa"/>
              <w:start w:w="120" w:type="dxa"/>
              <w:bottom w:w="80" w:type="dxa"/>
              <w:end w:w="120" w:type="dxa"/>
            </w:tcMar>
            <w:vAlign w:val="center"/>
          </w:tcPr>
          <w:p>
            <w:pPr>
              <w:spacing w:after="0" w:line="259" w:lineRule="auto"/>
            </w:pPr>
            <w:r>
              <w:rPr>
                <w:rFonts w:ascii="Calibri" w:hAnsi="Calibri"/>
                <w:color w:val="14181C"/>
                <w:sz w:val="18"/>
              </w:rPr>
              <w:t>Los efectos accesibles son minúsculos y no cambian conectividad.</w:t>
            </w:r>
          </w:p>
        </w:tc>
      </w:tr>
      <w:tr>
        <w:tc>
          <w:tcPr>
            <w:tcW w:type="dxa" w:w="1700"/>
            <w:tcMar>
              <w:top w:w="80" w:type="dxa"/>
              <w:start w:w="120" w:type="dxa"/>
              <w:bottom w:w="80" w:type="dxa"/>
              <w:end w:w="120" w:type="dxa"/>
            </w:tcMar>
            <w:vAlign w:val="center"/>
          </w:tcPr>
          <w:p>
            <w:pPr>
              <w:spacing w:after="0" w:line="259" w:lineRule="auto"/>
            </w:pPr>
            <w:r>
              <w:rPr>
                <w:rFonts w:ascii="Calibri" w:hAnsi="Calibri"/>
                <w:color w:val="14181C"/>
                <w:sz w:val="18"/>
              </w:rPr>
              <w:t>Campos EM</w:t>
            </w:r>
          </w:p>
        </w:tc>
        <w:tc>
          <w:tcPr>
            <w:tcW w:type="dxa" w:w="3000"/>
            <w:tcMar>
              <w:top w:w="80" w:type="dxa"/>
              <w:start w:w="120" w:type="dxa"/>
              <w:bottom w:w="80" w:type="dxa"/>
              <w:end w:w="120" w:type="dxa"/>
            </w:tcMar>
            <w:vAlign w:val="center"/>
          </w:tcPr>
          <w:p>
            <w:pPr>
              <w:spacing w:after="0" w:line="259" w:lineRule="auto"/>
            </w:pPr>
            <w:r>
              <w:rPr>
                <w:rFonts w:ascii="Calibri" w:hAnsi="Calibri"/>
                <w:color w:val="14181C"/>
                <w:sz w:val="18"/>
              </w:rPr>
              <w:t>Son controlables, modulables y geométricamente configurables.</w:t>
            </w:r>
          </w:p>
        </w:tc>
        <w:tc>
          <w:tcPr>
            <w:tcW w:type="dxa" w:w="4660"/>
            <w:tcMar>
              <w:top w:w="80" w:type="dxa"/>
              <w:start w:w="120" w:type="dxa"/>
              <w:bottom w:w="80" w:type="dxa"/>
              <w:end w:w="120" w:type="dxa"/>
            </w:tcMar>
            <w:vAlign w:val="center"/>
          </w:tcPr>
          <w:p>
            <w:pPr>
              <w:spacing w:after="0" w:line="259" w:lineRule="auto"/>
            </w:pPr>
            <w:r>
              <w:rPr>
                <w:rFonts w:ascii="Calibri" w:hAnsi="Calibri"/>
                <w:color w:val="14181C"/>
                <w:sz w:val="18"/>
              </w:rPr>
              <w:t>Su efecto gravitatorio de laboratorio es despreciable; abundan artefactos ordinarios.</w:t>
            </w:r>
          </w:p>
        </w:tc>
      </w:tr>
      <w:tr>
        <w:tc>
          <w:tcPr>
            <w:tcW w:type="dxa" w:w="1700"/>
            <w:tcMar>
              <w:top w:w="80" w:type="dxa"/>
              <w:start w:w="120" w:type="dxa"/>
              <w:bottom w:w="80" w:type="dxa"/>
              <w:end w:w="120" w:type="dxa"/>
            </w:tcMar>
            <w:vAlign w:val="center"/>
          </w:tcPr>
          <w:p>
            <w:pPr>
              <w:spacing w:after="0" w:line="259" w:lineRule="auto"/>
            </w:pPr>
            <w:r>
              <w:rPr>
                <w:rFonts w:ascii="Calibri" w:hAnsi="Calibri"/>
                <w:color w:val="14181C"/>
                <w:sz w:val="18"/>
              </w:rPr>
              <w:t>Casimir y vacío</w:t>
            </w:r>
          </w:p>
        </w:tc>
        <w:tc>
          <w:tcPr>
            <w:tcW w:type="dxa" w:w="3000"/>
            <w:tcMar>
              <w:top w:w="80" w:type="dxa"/>
              <w:start w:w="120" w:type="dxa"/>
              <w:bottom w:w="80" w:type="dxa"/>
              <w:end w:w="120" w:type="dxa"/>
            </w:tcMar>
            <w:vAlign w:val="center"/>
          </w:tcPr>
          <w:p>
            <w:pPr>
              <w:spacing w:after="0" w:line="259" w:lineRule="auto"/>
            </w:pPr>
            <w:r>
              <w:rPr>
                <w:rFonts w:ascii="Calibri" w:hAnsi="Calibri"/>
                <w:color w:val="14181C"/>
                <w:sz w:val="18"/>
              </w:rPr>
              <w:t>Las fronteras alteran modos del vacío.</w:t>
            </w:r>
          </w:p>
        </w:tc>
        <w:tc>
          <w:tcPr>
            <w:tcW w:type="dxa" w:w="4660"/>
            <w:tcMar>
              <w:top w:w="80" w:type="dxa"/>
              <w:start w:w="120" w:type="dxa"/>
              <w:bottom w:w="80" w:type="dxa"/>
              <w:end w:w="120" w:type="dxa"/>
            </w:tcMar>
            <w:vAlign w:val="center"/>
          </w:tcPr>
          <w:p>
            <w:pPr>
              <w:spacing w:after="0" w:line="259" w:lineRule="auto"/>
            </w:pPr>
            <w:r>
              <w:rPr>
                <w:rFonts w:ascii="Calibri" w:hAnsi="Calibri"/>
                <w:color w:val="14181C"/>
                <w:sz w:val="18"/>
              </w:rPr>
              <w:t>No se ha observado cambio de topología ni una brecha.</w:t>
            </w:r>
          </w:p>
        </w:tc>
      </w:tr>
      <w:tr>
        <w:tc>
          <w:tcPr>
            <w:tcW w:type="dxa" w:w="1700"/>
            <w:tcMar>
              <w:top w:w="80" w:type="dxa"/>
              <w:start w:w="120" w:type="dxa"/>
              <w:bottom w:w="80" w:type="dxa"/>
              <w:end w:w="120" w:type="dxa"/>
            </w:tcMar>
            <w:vAlign w:val="center"/>
          </w:tcPr>
          <w:p>
            <w:pPr>
              <w:spacing w:after="0" w:line="259" w:lineRule="auto"/>
            </w:pPr>
            <w:r>
              <w:rPr>
                <w:rFonts w:ascii="Calibri" w:hAnsi="Calibri"/>
                <w:color w:val="14181C"/>
                <w:sz w:val="18"/>
              </w:rPr>
              <w:t>Entrelazamiento</w:t>
            </w:r>
          </w:p>
        </w:tc>
        <w:tc>
          <w:tcPr>
            <w:tcW w:type="dxa" w:w="3000"/>
            <w:tcMar>
              <w:top w:w="80" w:type="dxa"/>
              <w:start w:w="120" w:type="dxa"/>
              <w:bottom w:w="80" w:type="dxa"/>
              <w:end w:w="120" w:type="dxa"/>
            </w:tcMar>
            <w:vAlign w:val="center"/>
          </w:tcPr>
          <w:p>
            <w:pPr>
              <w:spacing w:after="0" w:line="259" w:lineRule="auto"/>
            </w:pPr>
            <w:r>
              <w:rPr>
                <w:rFonts w:ascii="Calibri" w:hAnsi="Calibri"/>
                <w:color w:val="14181C"/>
                <w:sz w:val="18"/>
              </w:rPr>
              <w:t>Produce correlaciones no clásicas.</w:t>
            </w:r>
          </w:p>
        </w:tc>
        <w:tc>
          <w:tcPr>
            <w:tcW w:type="dxa" w:w="4660"/>
            <w:tcMar>
              <w:top w:w="80" w:type="dxa"/>
              <w:start w:w="120" w:type="dxa"/>
              <w:bottom w:w="80" w:type="dxa"/>
              <w:end w:w="120" w:type="dxa"/>
            </w:tcMar>
            <w:vAlign w:val="center"/>
          </w:tcPr>
          <w:p>
            <w:pPr>
              <w:spacing w:after="0" w:line="259" w:lineRule="auto"/>
            </w:pPr>
            <w:r>
              <w:rPr>
                <w:rFonts w:ascii="Calibri" w:hAnsi="Calibri"/>
                <w:color w:val="14181C"/>
                <w:sz w:val="18"/>
              </w:rPr>
              <w:t>No comunica por sí solo ni crea un canal material.</w:t>
            </w:r>
          </w:p>
        </w:tc>
      </w:tr>
      <w:tr>
        <w:tc>
          <w:tcPr>
            <w:tcW w:type="dxa" w:w="1700"/>
            <w:tcMar>
              <w:top w:w="80" w:type="dxa"/>
              <w:start w:w="120" w:type="dxa"/>
              <w:bottom w:w="80" w:type="dxa"/>
              <w:end w:w="120" w:type="dxa"/>
            </w:tcMar>
            <w:vAlign w:val="center"/>
          </w:tcPr>
          <w:p>
            <w:pPr>
              <w:spacing w:after="0" w:line="259" w:lineRule="auto"/>
            </w:pPr>
            <w:r>
              <w:rPr>
                <w:rFonts w:ascii="Calibri" w:hAnsi="Calibri"/>
                <w:color w:val="14181C"/>
                <w:sz w:val="18"/>
              </w:rPr>
              <w:t>Métricas efectivas</w:t>
            </w:r>
          </w:p>
        </w:tc>
        <w:tc>
          <w:tcPr>
            <w:tcW w:type="dxa" w:w="3000"/>
            <w:tcMar>
              <w:top w:w="80" w:type="dxa"/>
              <w:start w:w="120" w:type="dxa"/>
              <w:bottom w:w="80" w:type="dxa"/>
              <w:end w:w="120" w:type="dxa"/>
            </w:tcMar>
            <w:vAlign w:val="center"/>
          </w:tcPr>
          <w:p>
            <w:pPr>
              <w:spacing w:after="0" w:line="259" w:lineRule="auto"/>
            </w:pPr>
            <w:r>
              <w:rPr>
                <w:rFonts w:ascii="Calibri" w:hAnsi="Calibri"/>
                <w:color w:val="14181C"/>
                <w:sz w:val="18"/>
              </w:rPr>
              <w:t>Permiten horizontes y geometrías para excitaciones.</w:t>
            </w:r>
          </w:p>
        </w:tc>
        <w:tc>
          <w:tcPr>
            <w:tcW w:type="dxa" w:w="4660"/>
            <w:tcMar>
              <w:top w:w="80" w:type="dxa"/>
              <w:start w:w="120" w:type="dxa"/>
              <w:bottom w:w="80" w:type="dxa"/>
              <w:end w:w="120" w:type="dxa"/>
            </w:tcMar>
            <w:vAlign w:val="center"/>
          </w:tcPr>
          <w:p>
            <w:pPr>
              <w:spacing w:after="0" w:line="259" w:lineRule="auto"/>
            </w:pPr>
            <w:r>
              <w:rPr>
                <w:rFonts w:ascii="Calibri" w:hAnsi="Calibri"/>
                <w:color w:val="14181C"/>
                <w:sz w:val="18"/>
              </w:rPr>
              <w:t>Modifican un medio, no el espacio-tiempo real.</w:t>
            </w:r>
          </w:p>
        </w:tc>
      </w:tr>
      <w:tr>
        <w:tc>
          <w:tcPr>
            <w:tcW w:type="dxa" w:w="1700"/>
            <w:tcMar>
              <w:top w:w="80" w:type="dxa"/>
              <w:start w:w="120" w:type="dxa"/>
              <w:bottom w:w="80" w:type="dxa"/>
              <w:end w:w="120" w:type="dxa"/>
            </w:tcMar>
            <w:vAlign w:val="center"/>
          </w:tcPr>
          <w:p>
            <w:pPr>
              <w:spacing w:after="0" w:line="259" w:lineRule="auto"/>
            </w:pPr>
            <w:r>
              <w:rPr>
                <w:rFonts w:ascii="Calibri" w:hAnsi="Calibri"/>
                <w:color w:val="14181C"/>
                <w:sz w:val="18"/>
              </w:rPr>
              <w:t>Wormholes</w:t>
            </w:r>
          </w:p>
        </w:tc>
        <w:tc>
          <w:tcPr>
            <w:tcW w:type="dxa" w:w="3000"/>
            <w:tcMar>
              <w:top w:w="80" w:type="dxa"/>
              <w:start w:w="120" w:type="dxa"/>
              <w:bottom w:w="80" w:type="dxa"/>
              <w:end w:w="120" w:type="dxa"/>
            </w:tcMar>
            <w:vAlign w:val="center"/>
          </w:tcPr>
          <w:p>
            <w:pPr>
              <w:spacing w:after="0" w:line="259" w:lineRule="auto"/>
            </w:pPr>
            <w:r>
              <w:rPr>
                <w:rFonts w:ascii="Calibri" w:hAnsi="Calibri"/>
                <w:color w:val="14181C"/>
                <w:sz w:val="18"/>
              </w:rPr>
              <w:t>Formalizan conexiones entre regiones.</w:t>
            </w:r>
          </w:p>
        </w:tc>
        <w:tc>
          <w:tcPr>
            <w:tcW w:type="dxa" w:w="4660"/>
            <w:tcMar>
              <w:top w:w="80" w:type="dxa"/>
              <w:start w:w="120" w:type="dxa"/>
              <w:bottom w:w="80" w:type="dxa"/>
              <w:end w:w="120" w:type="dxa"/>
            </w:tcMar>
            <w:vAlign w:val="center"/>
          </w:tcPr>
          <w:p>
            <w:pPr>
              <w:spacing w:after="0" w:line="259" w:lineRule="auto"/>
            </w:pPr>
            <w:r>
              <w:rPr>
                <w:rFonts w:ascii="Calibri" w:hAnsi="Calibri"/>
                <w:color w:val="14181C"/>
                <w:sz w:val="18"/>
              </w:rPr>
              <w:t>No hay realización experimental y exigen condiciones extremas.</w:t>
            </w:r>
          </w:p>
        </w:tc>
      </w:tr>
      <w:tr>
        <w:tc>
          <w:tcPr>
            <w:tcW w:type="dxa" w:w="1700"/>
            <w:tcMar>
              <w:top w:w="80" w:type="dxa"/>
              <w:start w:w="120" w:type="dxa"/>
              <w:bottom w:w="80" w:type="dxa"/>
              <w:end w:w="120" w:type="dxa"/>
            </w:tcMar>
            <w:vAlign w:val="center"/>
          </w:tcPr>
          <w:p>
            <w:pPr>
              <w:spacing w:after="0" w:line="259" w:lineRule="auto"/>
            </w:pPr>
            <w:r>
              <w:rPr>
                <w:rFonts w:ascii="Calibri" w:hAnsi="Calibri"/>
                <w:color w:val="14181C"/>
                <w:sz w:val="18"/>
              </w:rPr>
              <w:t>Espacio-tiempo emergente</w:t>
            </w:r>
          </w:p>
        </w:tc>
        <w:tc>
          <w:tcPr>
            <w:tcW w:type="dxa" w:w="3000"/>
            <w:tcMar>
              <w:top w:w="80" w:type="dxa"/>
              <w:start w:w="120" w:type="dxa"/>
              <w:bottom w:w="80" w:type="dxa"/>
              <w:end w:w="120" w:type="dxa"/>
            </w:tcMar>
            <w:vAlign w:val="center"/>
          </w:tcPr>
          <w:p>
            <w:pPr>
              <w:spacing w:after="0" w:line="259" w:lineRule="auto"/>
            </w:pPr>
            <w:r>
              <w:rPr>
                <w:rFonts w:ascii="Calibri" w:hAnsi="Calibri"/>
                <w:color w:val="14181C"/>
                <w:sz w:val="18"/>
              </w:rPr>
              <w:t>Relaciona geometría y estructura cuántica en algunos modelos.</w:t>
            </w:r>
          </w:p>
        </w:tc>
        <w:tc>
          <w:tcPr>
            <w:tcW w:type="dxa" w:w="4660"/>
            <w:tcMar>
              <w:top w:w="80" w:type="dxa"/>
              <w:start w:w="120" w:type="dxa"/>
              <w:bottom w:w="80" w:type="dxa"/>
              <w:end w:w="120" w:type="dxa"/>
            </w:tcMar>
            <w:vAlign w:val="center"/>
          </w:tcPr>
          <w:p>
            <w:pPr>
              <w:spacing w:after="0" w:line="259" w:lineRule="auto"/>
            </w:pPr>
            <w:r>
              <w:rPr>
                <w:rFonts w:ascii="Calibri" w:hAnsi="Calibri"/>
                <w:color w:val="14181C"/>
                <w:sz w:val="18"/>
              </w:rPr>
              <w:t>No posee un actuador local conocido.</w:t>
            </w:r>
          </w:p>
        </w:tc>
      </w:tr>
    </w:tbl>
    <w:p>
      <w:pPr>
        <w:spacing w:after="20"/>
        <w:widowControl/>
      </w:pPr>
    </w:p>
    <w:p>
      <w:pPr>
        <w:widowControl/>
      </w:pPr>
      <w:r>
        <w:rPr>
          <w:rFonts w:ascii="Calibri" w:hAnsi="Calibri"/>
          <w:i w:val="0"/>
          <w:color w:val="14181C"/>
        </w:rPr>
        <w:t>Ninguna línea examinada ha proporcionado una cerradura identificable ni un picaporte. Tampoco se ha encontrado un argumento general que permita convertir esa ausencia en una afirmación de imposibilidad absoluta. El resultado honesto es una pregunta mejor delimitada, no una solución.</w:t>
      </w:r>
    </w:p>
    <w:p>
      <w:pPr>
        <w:pStyle w:val="Heading1"/>
        <w:keepNext/>
        <w:widowControl/>
      </w:pPr>
      <w:r>
        <w:t>8. Ideas descartadas o aplazadas</w:t>
      </w:r>
    </w:p>
    <w:p>
      <w:pPr>
        <w:widowControl/>
      </w:pPr>
      <w:r>
        <w:rPr>
          <w:rFonts w:ascii="Calibri" w:hAnsi="Calibri"/>
          <w:i w:val="0"/>
          <w:color w:val="14181C"/>
        </w:rPr>
        <w:t>Para evitar que el archivo parezca una teoría compuesta por todas las ideas consideradas, conviene dejar explícito su estado.</w:t>
      </w:r>
    </w:p>
    <w:p>
      <w:pPr>
        <w:pStyle w:val="Heading2"/>
        <w:keepNext/>
        <w:widowControl/>
      </w:pPr>
      <w:r>
        <w:t>Descartadas como mecanismo central</w:t>
      </w:r>
    </w:p>
    <w:p>
      <w:pPr>
        <w:pStyle w:val="ListBullet"/>
        <w:spacing w:after="80" w:line="290" w:lineRule="auto"/>
        <w:ind w:left="540" w:hanging="279"/>
        <w:widowControl/>
      </w:pPr>
      <w:r>
        <w:rPr>
          <w:rFonts w:ascii="Calibri" w:hAnsi="Calibri"/>
          <w:color w:val="14181C"/>
        </w:rPr>
        <w:t>Copiar, escanear o reconstruir el objeto.</w:t>
      </w:r>
    </w:p>
    <w:p>
      <w:pPr>
        <w:pStyle w:val="ListBullet"/>
        <w:spacing w:after="80" w:line="290" w:lineRule="auto"/>
        <w:ind w:left="540" w:hanging="279"/>
        <w:widowControl/>
      </w:pPr>
      <w:r>
        <w:rPr>
          <w:rFonts w:ascii="Calibri" w:hAnsi="Calibri"/>
          <w:color w:val="14181C"/>
        </w:rPr>
        <w:t>Presentar el teletransporte cuántico como traslado de materia.</w:t>
      </w:r>
    </w:p>
    <w:p>
      <w:pPr>
        <w:pStyle w:val="ListBullet"/>
        <w:spacing w:after="80" w:line="290" w:lineRule="auto"/>
        <w:ind w:left="540" w:hanging="279"/>
        <w:widowControl/>
      </w:pPr>
      <w:r>
        <w:rPr>
          <w:rFonts w:ascii="Calibri" w:hAnsi="Calibri"/>
          <w:color w:val="14181C"/>
        </w:rPr>
        <w:t>Buscar una frecuencia mágica aislada.</w:t>
      </w:r>
    </w:p>
    <w:p>
      <w:pPr>
        <w:pStyle w:val="ListBullet"/>
        <w:spacing w:after="80" w:line="290" w:lineRule="auto"/>
        <w:ind w:left="540" w:hanging="279"/>
        <w:widowControl/>
      </w:pPr>
      <w:r>
        <w:rPr>
          <w:rFonts w:ascii="Calibri" w:hAnsi="Calibri"/>
          <w:color w:val="14181C"/>
        </w:rPr>
        <w:t>Utilizar neutrinos o una única firma gravitatoria como dirección del destino.</w:t>
      </w:r>
    </w:p>
    <w:p>
      <w:pPr>
        <w:pStyle w:val="ListBullet"/>
        <w:spacing w:after="80" w:line="290" w:lineRule="auto"/>
        <w:ind w:left="540" w:hanging="279"/>
        <w:widowControl/>
      </w:pPr>
      <w:r>
        <w:rPr>
          <w:rFonts w:ascii="Calibri" w:hAnsi="Calibri"/>
          <w:color w:val="14181C"/>
        </w:rPr>
        <w:t>Confundir una simulación, una métrica efectiva o una analogía con un portal real.</w:t>
      </w:r>
    </w:p>
    <w:p>
      <w:pPr>
        <w:pStyle w:val="ListBullet"/>
        <w:spacing w:after="80" w:line="290" w:lineRule="auto"/>
        <w:ind w:left="540" w:hanging="279"/>
        <w:widowControl/>
      </w:pPr>
      <w:r>
        <w:rPr>
          <w:rFonts w:ascii="Calibri" w:hAnsi="Calibri"/>
          <w:color w:val="14181C"/>
        </w:rPr>
        <w:t>Utilizar testimonios no verificables como evidencia científica.</w:t>
      </w:r>
    </w:p>
    <w:p>
      <w:pPr>
        <w:pStyle w:val="Heading2"/>
        <w:keepNext/>
        <w:widowControl/>
      </w:pPr>
      <w:r>
        <w:t>Aplazadas por ser posteriores a la apertura</w:t>
      </w:r>
    </w:p>
    <w:p>
      <w:pPr>
        <w:pStyle w:val="ListBullet"/>
        <w:spacing w:after="80" w:line="290" w:lineRule="auto"/>
        <w:ind w:left="540" w:hanging="279"/>
        <w:widowControl/>
      </w:pPr>
      <w:r>
        <w:rPr>
          <w:rFonts w:ascii="Calibri" w:hAnsi="Calibri"/>
          <w:color w:val="14181C"/>
        </w:rPr>
        <w:t>Selección y conjugación del destino.</w:t>
      </w:r>
    </w:p>
    <w:p>
      <w:pPr>
        <w:pStyle w:val="ListBullet"/>
        <w:spacing w:after="80" w:line="290" w:lineRule="auto"/>
        <w:ind w:left="540" w:hanging="279"/>
        <w:widowControl/>
      </w:pPr>
      <w:r>
        <w:rPr>
          <w:rFonts w:ascii="Calibri" w:hAnsi="Calibri"/>
          <w:color w:val="14181C"/>
        </w:rPr>
        <w:t>Anclajes, estaciones o marcos de la puerta.</w:t>
      </w:r>
    </w:p>
    <w:p>
      <w:pPr>
        <w:pStyle w:val="ListBullet"/>
        <w:spacing w:after="80" w:line="290" w:lineRule="auto"/>
        <w:ind w:left="540" w:hanging="279"/>
        <w:widowControl/>
      </w:pPr>
      <w:r>
        <w:rPr>
          <w:rFonts w:ascii="Calibri" w:hAnsi="Calibri"/>
          <w:color w:val="14181C"/>
        </w:rPr>
        <w:t>Membrana selectiva, equilibrio de presión y tránsito seguro.</w:t>
      </w:r>
    </w:p>
    <w:p>
      <w:pPr>
        <w:pStyle w:val="ListBullet"/>
        <w:spacing w:after="80" w:line="290" w:lineRule="auto"/>
        <w:ind w:left="540" w:hanging="279"/>
        <w:widowControl/>
      </w:pPr>
      <w:r>
        <w:rPr>
          <w:rFonts w:ascii="Calibri" w:hAnsi="Calibri"/>
          <w:color w:val="14181C"/>
        </w:rPr>
        <w:t>Materiales concretos, barridos de frecuencias y diseño experimental.</w:t>
      </w:r>
    </w:p>
    <w:p>
      <w:pPr>
        <w:pStyle w:val="Heading1"/>
        <w:keepNext/>
        <w:widowControl/>
      </w:pPr>
      <w:r>
        <w:t>9. Dónde se detiene el trabajo</w:t>
      </w:r>
    </w:p>
    <w:p>
      <w:pPr>
        <w:widowControl/>
      </w:pPr>
      <w:r>
        <w:rPr>
          <w:rFonts w:ascii="Calibri" w:hAnsi="Calibri"/>
          <w:i w:val="0"/>
          <w:color w:val="14181C"/>
        </w:rPr>
        <w:t>El recorrido ha alcanzado un límite. Continuar acumulando frecuencias, materiales, geometrías o combinaciones de campos sin una hipótesis predictiva convertiría la investigación en una búsqueda ilimitada de anomalías. Cualquier dispositivo produciría calor, vibración, resonancias, interferencias, dilataciones y otros efectos ordinarios susceptibles de interpretarse erróneamente.</w:t>
      </w:r>
    </w:p>
    <w:p>
      <w:pPr>
        <w:widowControl/>
      </w:pPr>
      <w:r>
        <w:rPr>
          <w:rFonts w:ascii="Calibri" w:hAnsi="Calibri"/>
          <w:i w:val="0"/>
          <w:color w:val="14181C"/>
        </w:rPr>
        <w:t>No parece responsable proponer un experimento hasta poder anticipar:</w:t>
      </w:r>
    </w:p>
    <w:p>
      <w:pPr>
        <w:pStyle w:val="ListBullet"/>
        <w:spacing w:after="80" w:line="290" w:lineRule="auto"/>
        <w:ind w:left="540" w:hanging="279"/>
        <w:widowControl/>
      </w:pPr>
      <w:r>
        <w:rPr>
          <w:rFonts w:ascii="Calibri" w:hAnsi="Calibri"/>
          <w:color w:val="14181C"/>
        </w:rPr>
        <w:t>qué magnitud debería cambiar;</w:t>
      </w:r>
    </w:p>
    <w:p>
      <w:pPr>
        <w:pStyle w:val="ListBullet"/>
        <w:spacing w:after="80" w:line="290" w:lineRule="auto"/>
        <w:ind w:left="540" w:hanging="279"/>
        <w:widowControl/>
      </w:pPr>
      <w:r>
        <w:rPr>
          <w:rFonts w:ascii="Calibri" w:hAnsi="Calibri"/>
          <w:color w:val="14181C"/>
        </w:rPr>
        <w:t>en qué dirección y con qué escala;</w:t>
      </w:r>
    </w:p>
    <w:p>
      <w:pPr>
        <w:pStyle w:val="ListBullet"/>
        <w:spacing w:after="80" w:line="290" w:lineRule="auto"/>
        <w:ind w:left="540" w:hanging="279"/>
        <w:widowControl/>
      </w:pPr>
      <w:r>
        <w:rPr>
          <w:rFonts w:ascii="Calibri" w:hAnsi="Calibri"/>
          <w:color w:val="14181C"/>
        </w:rPr>
        <w:t>bajo qué condición concreta;</w:t>
      </w:r>
    </w:p>
    <w:p>
      <w:pPr>
        <w:pStyle w:val="ListBullet"/>
        <w:spacing w:after="80" w:line="290" w:lineRule="auto"/>
        <w:ind w:left="540" w:hanging="279"/>
        <w:widowControl/>
      </w:pPr>
      <w:r>
        <w:rPr>
          <w:rFonts w:ascii="Calibri" w:hAnsi="Calibri"/>
          <w:color w:val="14181C"/>
        </w:rPr>
        <w:t>qué control produciría el resultado contrario;</w:t>
      </w:r>
    </w:p>
    <w:p>
      <w:pPr>
        <w:pStyle w:val="ListBullet"/>
        <w:spacing w:after="80" w:line="290" w:lineRule="auto"/>
        <w:ind w:left="540" w:hanging="279"/>
        <w:widowControl/>
      </w:pPr>
      <w:r>
        <w:rPr>
          <w:rFonts w:ascii="Calibri" w:hAnsi="Calibri"/>
          <w:color w:val="14181C"/>
        </w:rPr>
        <w:t>qué observación descartaría la hipótesis.</w:t>
      </w:r>
    </w:p>
    <w:tbl>
      <w:tblPr>
        <w:tblW w:type="dxa" w:w="9360"/>
        <w:jc w:val="left"/>
        <w:tblLayout w:type="fixed"/>
        <w:tblLook w:firstColumn="1" w:firstRow="1" w:lastColumn="0" w:lastRow="0" w:noHBand="0" w:noVBand="1" w:val="04A0"/>
        <w:tblInd w:w="120" w:type="dxa"/>
      </w:tblPr>
      <w:tblGrid>
        <w:gridCol w:w="9360"/>
      </w:tblGrid>
      <w:tr>
        <w:tc>
          <w:tcPr>
            <w:tcW w:type="dxa" w:w="9360"/>
            <w:tcMar>
              <w:top w:w="80" w:type="dxa"/>
              <w:start w:w="120" w:type="dxa"/>
              <w:bottom w:w="80" w:type="dxa"/>
              <w:end w:w="120" w:type="dxa"/>
            </w:tcMar>
            <w:vAlign w:val="center"/>
            <w:shd w:fill="F4F6F9"/>
          </w:tcPr>
          <w:p>
            <w:pPr>
              <w:spacing w:after="0" w:line="276" w:lineRule="auto"/>
            </w:pPr>
            <w:r>
              <w:rPr>
                <w:rFonts w:ascii="Calibri" w:hAnsi="Calibri"/>
                <w:b/>
                <w:color w:val="1F4D78"/>
                <w:sz w:val="19"/>
              </w:rPr>
              <w:t xml:space="preserve">ESTADO FINAL  </w:t>
            </w:r>
            <w:r>
              <w:rPr>
                <w:rFonts w:ascii="Calibri" w:hAnsi="Calibri"/>
                <w:color w:val="14181C"/>
                <w:sz w:val="21"/>
              </w:rPr>
              <w:t>No se ha identificado una cerradura operacional, un picaporte, una predicción cuantitativa ni un experimento específico justificado. Se ha identificado una pregunta y se ha documentado por qué varias respuestas aparentes no bastan.</w:t>
            </w:r>
          </w:p>
        </w:tc>
      </w:tr>
    </w:tbl>
    <w:p>
      <w:pPr>
        <w:spacing w:after="20"/>
        <w:widowControl/>
      </w:pPr>
    </w:p>
    <w:p>
      <w:pPr>
        <w:pStyle w:val="Heading1"/>
        <w:keepNext/>
        <w:widowControl/>
      </w:pPr>
      <w:r>
        <w:t>10. Preguntas para especialistas</w:t>
      </w:r>
    </w:p>
    <w:p>
      <w:pPr>
        <w:pStyle w:val="ListNumber"/>
        <w:numPr>
          <w:ilvl w:val="0"/>
          <w:numId w:val="10"/>
        </w:numPr>
        <w:spacing w:after="80" w:line="290" w:lineRule="auto"/>
        <w:ind w:left="540" w:hanging="279"/>
        <w:widowControl/>
      </w:pPr>
      <w:r>
        <w:rPr>
          <w:rFonts w:ascii="Calibri" w:hAnsi="Calibri"/>
          <w:color w:val="14181C"/>
        </w:rPr>
        <w:t>¿Puede formularse la adyacencia como un observable o una variable física independiente de la distancia métrica ordinaria?</w:t>
      </w:r>
    </w:p>
    <w:p>
      <w:pPr>
        <w:pStyle w:val="ListNumber"/>
        <w:spacing w:after="80" w:line="290" w:lineRule="auto"/>
        <w:ind w:left="540" w:hanging="279"/>
        <w:widowControl/>
      </w:pPr>
      <w:r>
        <w:rPr>
          <w:rFonts w:ascii="Calibri" w:hAnsi="Calibri"/>
          <w:color w:val="14181C"/>
        </w:rPr>
        <w:t>¿Existe en gravedad cuántica, topología o espacio-tiempo emergente una formulación equivalente a dos superficies que adquieren continuidad directa?</w:t>
      </w:r>
    </w:p>
    <w:p>
      <w:pPr>
        <w:pStyle w:val="ListNumber"/>
        <w:spacing w:after="80" w:line="290" w:lineRule="auto"/>
        <w:ind w:left="540" w:hanging="279"/>
        <w:widowControl/>
      </w:pPr>
      <w:r>
        <w:rPr>
          <w:rFonts w:ascii="Calibri" w:hAnsi="Calibri"/>
          <w:color w:val="14181C"/>
        </w:rPr>
        <w:t>¿Qué teorema, principio de causalidad o ley de conservación descartaría esta clase de transición?</w:t>
      </w:r>
    </w:p>
    <w:p>
      <w:pPr>
        <w:pStyle w:val="ListNumber"/>
        <w:spacing w:after="80" w:line="290" w:lineRule="auto"/>
        <w:ind w:left="540" w:hanging="279"/>
        <w:widowControl/>
      </w:pPr>
      <w:r>
        <w:rPr>
          <w:rFonts w:ascii="Calibri" w:hAnsi="Calibri"/>
          <w:color w:val="14181C"/>
        </w:rPr>
        <w:t>¿Qué fenómeno precursor debería aparecer antes de una modificación completa de la conectividad?</w:t>
      </w:r>
    </w:p>
    <w:p>
      <w:pPr>
        <w:pStyle w:val="ListNumber"/>
        <w:spacing w:after="80" w:line="290" w:lineRule="auto"/>
        <w:ind w:left="540" w:hanging="279"/>
        <w:widowControl/>
      </w:pPr>
      <w:r>
        <w:rPr>
          <w:rFonts w:ascii="Calibri" w:hAnsi="Calibri"/>
          <w:color w:val="14181C"/>
        </w:rPr>
        <w:t>¿Puede construirse un modelo matemático mínimo que produzca una predicción falsable sin introducir por definición el portal que pretende explicar?</w:t>
      </w:r>
    </w:p>
    <w:p>
      <w:pPr>
        <w:pStyle w:val="ListNumber"/>
        <w:spacing w:after="80" w:line="290" w:lineRule="auto"/>
        <w:ind w:left="540" w:hanging="279"/>
        <w:widowControl/>
      </w:pPr>
      <w:r>
        <w:rPr>
          <w:rFonts w:ascii="Calibri" w:hAnsi="Calibri"/>
          <w:color w:val="14181C"/>
        </w:rPr>
        <w:t>¿Qué literatura o programa experimental existente se aproxima más a esta pregunta sin confundir geometrías efectivas con espacio-tiempo real?</w:t>
      </w:r>
    </w:p>
    <w:p>
      <w:pPr>
        <w:widowControl/>
      </w:pPr>
      <w:r>
        <w:rPr>
          <w:rFonts w:ascii="Calibri" w:hAnsi="Calibri"/>
          <w:i w:val="0"/>
          <w:color w:val="14181C"/>
        </w:rPr>
        <w:t>La invitación no consiste en pedir validación. Una refutación clara, una reformulación o la identificación de un antecedente equivalente serían resultados igualmente valiosos.</w:t>
      </w:r>
    </w:p>
    <w:p>
      <w:pPr>
        <w:pStyle w:val="Heading1"/>
        <w:keepNext/>
        <w:widowControl/>
      </w:pPr>
      <w:r>
        <w:t>11. Invitación abierta</w:t>
      </w:r>
    </w:p>
    <w:p>
      <w:pPr>
        <w:widowControl/>
      </w:pPr>
      <w:r>
        <w:rPr>
          <w:rFonts w:ascii="Calibri" w:hAnsi="Calibri"/>
          <w:i w:val="0"/>
          <w:color w:val="14181C"/>
        </w:rPr>
        <w:t>Este documento se publica porque su autor ha alcanzado el límite de lo que puede desarrollar responsablemente con su formación y sus recursos actuales.</w:t>
      </w:r>
    </w:p>
    <w:p>
      <w:pPr>
        <w:widowControl/>
      </w:pPr>
      <w:r>
        <w:rPr>
          <w:rFonts w:ascii="Calibri" w:hAnsi="Calibri"/>
          <w:i w:val="0"/>
          <w:color w:val="14181C"/>
        </w:rPr>
        <w:t>La propuesta queda abierta a físicos, matemáticos, filósofos de la ciencia, estudiantes y equipos independientes que deseen examinarla. Puede ser criticada, reformulada, relacionada con trabajos existentes, convertida en un modelo falsable o descartada mediante un argumento sólido.</w:t>
      </w:r>
    </w:p>
    <w:p>
      <w:pPr>
        <w:widowControl/>
      </w:pPr>
      <w:r>
        <w:rPr>
          <w:rFonts w:ascii="Calibri" w:hAnsi="Calibri"/>
          <w:i w:val="0"/>
          <w:color w:val="14181C"/>
        </w:rPr>
        <w:t>No es necesaria la colaboración directa con el autor para continuarla. La intención no es conservar el control sobre una posibilidad hipotética, sino permitir que la pregunta llegue a quienes puedan reconocer en ella un problema útil —o explicar con precisión por qué no lo es—.</w:t>
      </w:r>
    </w:p>
    <w:p>
      <w:pPr>
        <w:widowControl/>
      </w:pPr>
      <w:r>
        <w:rPr>
          <w:rFonts w:ascii="Calibri" w:hAnsi="Calibri"/>
          <w:i w:val="0"/>
          <w:color w:val="14181C"/>
        </w:rPr>
        <w:t>Se solicita únicamente distinguir la intuición y los documentos originales de cualquier desarrollo posterior y conservar una atribución adecuada cuando se utilicen contenidos específicos.</w:t>
      </w:r>
    </w:p>
    <w:tbl>
      <w:tblPr>
        <w:tblW w:type="dxa" w:w="9360"/>
        <w:jc w:val="left"/>
        <w:tblLayout w:type="fixed"/>
        <w:tblLook w:firstColumn="1" w:firstRow="1" w:lastColumn="0" w:lastRow="0" w:noHBand="0" w:noVBand="1" w:val="04A0"/>
        <w:tblInd w:w="120" w:type="dxa"/>
      </w:tblPr>
      <w:tblGrid>
        <w:gridCol w:w="9360"/>
      </w:tblGrid>
      <w:tr>
        <w:tc>
          <w:tcPr>
            <w:tcW w:type="dxa" w:w="9360"/>
            <w:tcMar>
              <w:top w:w="80" w:type="dxa"/>
              <w:start w:w="120" w:type="dxa"/>
              <w:bottom w:w="80" w:type="dxa"/>
              <w:end w:w="120" w:type="dxa"/>
            </w:tcMar>
            <w:vAlign w:val="center"/>
            <w:shd w:fill="F4F6F9"/>
          </w:tcPr>
          <w:p>
            <w:pPr>
              <w:spacing w:after="0" w:line="276" w:lineRule="auto"/>
            </w:pPr>
            <w:r>
              <w:rPr>
                <w:rFonts w:ascii="Calibri" w:hAnsi="Calibri"/>
                <w:b/>
                <w:color w:val="1F4D78"/>
                <w:sz w:val="19"/>
              </w:rPr>
              <w:t xml:space="preserve">CIERRE  </w:t>
            </w:r>
            <w:r>
              <w:rPr>
                <w:rFonts w:ascii="Calibri" w:hAnsi="Calibri"/>
                <w:color w:val="14181C"/>
                <w:sz w:val="21"/>
              </w:rPr>
              <w:t>No sabemos si hay una puerta. Tampoco sabemos si existe una cerradura. Lo que se entrega aquí es una manera concreta de formular la búsqueda.</w:t>
            </w:r>
          </w:p>
        </w:tc>
      </w:tr>
    </w:tbl>
    <w:p>
      <w:pPr>
        <w:spacing w:after="20"/>
        <w:widowControl/>
      </w:pPr>
    </w:p>
    <w:p>
      <w:pPr>
        <w:pStyle w:val="Heading1"/>
        <w:keepNext/>
        <w:widowControl/>
      </w:pPr>
      <w:r>
        <w:t>12. Autoría y método</w:t>
      </w:r>
    </w:p>
    <w:p>
      <w:pPr>
        <w:widowControl/>
      </w:pPr>
      <w:r>
        <w:rPr>
          <w:rFonts w:ascii="Calibri" w:hAnsi="Calibri"/>
          <w:i w:val="0"/>
          <w:color w:val="14181C"/>
        </w:rPr>
        <w:t>La intuición originaria, las analogías centrales, las decisiones de rumbo y la orientación del proyecto corresponden a César Medrano. El desarrollo se realizó mediante conversaciones prolongadas con sistemas de inteligencia artificial, utilizados para organizar ideas, señalar contradicciones, consultar literatura científica y redactar sucesivas formulaciones.</w:t>
      </w:r>
    </w:p>
    <w:p>
      <w:pPr>
        <w:widowControl/>
      </w:pPr>
      <w:r>
        <w:rPr>
          <w:rFonts w:ascii="Calibri" w:hAnsi="Calibri"/>
          <w:i w:val="0"/>
          <w:color w:val="14181C"/>
        </w:rPr>
        <w:t>La inteligencia artificial no debe considerarse fuente de autoridad científica ni coautora de descubrimientos. Sus respuestas pueden contener errores y requieren verificación. Los contenidos científicos de este documento constituyen una síntesis exploratoria sujeta a revisión especializada.</w:t>
      </w:r>
    </w:p>
    <w:p>
      <w:pPr>
        <w:widowControl/>
      </w:pPr>
      <w:r>
        <w:rPr>
          <w:rFonts w:ascii="Calibri" w:hAnsi="Calibri"/>
          <w:i w:val="0"/>
          <w:color w:val="14181C"/>
        </w:rPr>
        <w:t>César Medrano no se presenta como físico teórico. Su papel ha sido formular y sostener una intuición, someterla a crítica y hacer público el recorrido cuando ya no podía desarrollarlo de manera responsable por sí mismo.</w:t>
      </w:r>
    </w:p>
    <w:p>
      <w:pPr>
        <w:pStyle w:val="Heading1"/>
        <w:keepNext/>
        <w:widowControl/>
      </w:pPr>
      <w:r>
        <w:t>13. Archivo técnico disponible</w:t>
      </w:r>
    </w:p>
    <w:p>
      <w:pPr>
        <w:widowControl/>
      </w:pPr>
      <w:r>
        <w:rPr>
          <w:rFonts w:ascii="Calibri" w:hAnsi="Calibri"/>
          <w:i w:val="0"/>
          <w:color w:val="14181C"/>
        </w:rPr>
        <w:t>Existe un archivo más amplio que conserva el proceso, incluidos cambios de rumbo, errores, hipótesis abandonadas y auditorías críticas. Su función no es demostrar una teoría, sino permitir que otra persona comprenda qué se intentó, qué se descartó y desde qué punto podría continuar.</w:t>
      </w:r>
    </w:p>
    <w:tbl>
      <w:tblPr>
        <w:tblStyle w:val="TableGrid"/>
        <w:tblW w:type="dxa" w:w="9360"/>
        <w:tblLayout w:type="fixed"/>
        <w:tblLook w:firstColumn="1" w:firstRow="1" w:lastColumn="0" w:lastRow="0" w:noHBand="0" w:noVBand="1" w:val="04A0"/>
        <w:jc w:val="left"/>
        <w:tblInd w:w="120" w:type="dxa"/>
      </w:tblPr>
      <w:tblGrid>
        <w:gridCol w:w="2450"/>
        <w:gridCol w:w="4800"/>
        <w:gridCol w:w="2110"/>
      </w:tblGrid>
      <w:tr>
        <w:trPr>
          <w:tblHeader w:val="true"/>
        </w:trPr>
        <w:tc>
          <w:tcPr>
            <w:tcW w:type="dxa" w:w="2450"/>
            <w:tcMar>
              <w:top w:w="80" w:type="dxa"/>
              <w:start w:w="120" w:type="dxa"/>
              <w:bottom w:w="80" w:type="dxa"/>
              <w:end w:w="120" w:type="dxa"/>
            </w:tcMar>
            <w:vAlign w:val="center"/>
            <w:shd w:fill="F4F6F9"/>
          </w:tcPr>
          <w:p>
            <w:pPr>
              <w:spacing w:after="0"/>
            </w:pPr>
            <w:r>
              <w:rPr>
                <w:rFonts w:ascii="Calibri" w:hAnsi="Calibri"/>
                <w:b/>
                <w:color w:val="0B2545"/>
                <w:sz w:val="19"/>
              </w:rPr>
              <w:t>Bloque</w:t>
            </w:r>
          </w:p>
        </w:tc>
        <w:tc>
          <w:tcPr>
            <w:tcW w:type="dxa" w:w="4800"/>
            <w:tcMar>
              <w:top w:w="80" w:type="dxa"/>
              <w:start w:w="120" w:type="dxa"/>
              <w:bottom w:w="80" w:type="dxa"/>
              <w:end w:w="120" w:type="dxa"/>
            </w:tcMar>
            <w:vAlign w:val="center"/>
            <w:shd w:fill="F4F6F9"/>
          </w:tcPr>
          <w:p>
            <w:pPr>
              <w:spacing w:after="0"/>
            </w:pPr>
            <w:r>
              <w:rPr>
                <w:rFonts w:ascii="Calibri" w:hAnsi="Calibri"/>
                <w:b/>
                <w:color w:val="0B2545"/>
                <w:sz w:val="19"/>
              </w:rPr>
              <w:t>Contenido</w:t>
            </w:r>
          </w:p>
        </w:tc>
        <w:tc>
          <w:tcPr>
            <w:tcW w:type="dxa" w:w="2110"/>
            <w:tcMar>
              <w:top w:w="80" w:type="dxa"/>
              <w:start w:w="120" w:type="dxa"/>
              <w:bottom w:w="80" w:type="dxa"/>
              <w:end w:w="120" w:type="dxa"/>
            </w:tcMar>
            <w:vAlign w:val="center"/>
            <w:shd w:fill="F4F6F9"/>
          </w:tcPr>
          <w:p>
            <w:pPr>
              <w:spacing w:after="0"/>
            </w:pPr>
            <w:r>
              <w:rPr>
                <w:rFonts w:ascii="Calibri" w:hAnsi="Calibri"/>
                <w:b/>
                <w:color w:val="0B2545"/>
                <w:sz w:val="19"/>
              </w:rPr>
              <w:t>Estado</w:t>
            </w:r>
          </w:p>
        </w:tc>
      </w:tr>
      <w:tr>
        <w:tc>
          <w:tcPr>
            <w:tcW w:type="dxa" w:w="2450"/>
            <w:tcMar>
              <w:top w:w="80" w:type="dxa"/>
              <w:start w:w="120" w:type="dxa"/>
              <w:bottom w:w="80" w:type="dxa"/>
              <w:end w:w="120" w:type="dxa"/>
            </w:tcMar>
            <w:vAlign w:val="center"/>
          </w:tcPr>
          <w:p>
            <w:pPr>
              <w:spacing w:after="0" w:line="259" w:lineRule="auto"/>
            </w:pPr>
            <w:r>
              <w:rPr>
                <w:rFonts w:ascii="Calibri" w:hAnsi="Calibri"/>
                <w:color w:val="14181C"/>
                <w:sz w:val="18"/>
              </w:rPr>
              <w:t>Documento fundacional</w:t>
            </w:r>
          </w:p>
        </w:tc>
        <w:tc>
          <w:tcPr>
            <w:tcW w:type="dxa" w:w="4800"/>
            <w:tcMar>
              <w:top w:w="80" w:type="dxa"/>
              <w:start w:w="120" w:type="dxa"/>
              <w:bottom w:w="80" w:type="dxa"/>
              <w:end w:w="120" w:type="dxa"/>
            </w:tcMar>
            <w:vAlign w:val="center"/>
          </w:tcPr>
          <w:p>
            <w:pPr>
              <w:spacing w:after="0" w:line="259" w:lineRule="auto"/>
            </w:pPr>
            <w:r>
              <w:rPr>
                <w:rFonts w:ascii="Calibri" w:hAnsi="Calibri"/>
                <w:color w:val="14181C"/>
                <w:sz w:val="18"/>
              </w:rPr>
              <w:t>Origen ontológico e intuitivo del MFU.</w:t>
            </w:r>
          </w:p>
        </w:tc>
        <w:tc>
          <w:tcPr>
            <w:tcW w:type="dxa" w:w="2110"/>
            <w:tcMar>
              <w:top w:w="80" w:type="dxa"/>
              <w:start w:w="120" w:type="dxa"/>
              <w:bottom w:w="80" w:type="dxa"/>
              <w:end w:w="120" w:type="dxa"/>
            </w:tcMar>
            <w:vAlign w:val="center"/>
          </w:tcPr>
          <w:p>
            <w:pPr>
              <w:spacing w:after="0" w:line="259" w:lineRule="auto"/>
            </w:pPr>
            <w:r>
              <w:rPr>
                <w:rFonts w:ascii="Calibri" w:hAnsi="Calibri"/>
                <w:color w:val="14181C"/>
                <w:sz w:val="18"/>
              </w:rPr>
              <w:t>Histórico / inspiración</w:t>
            </w:r>
          </w:p>
        </w:tc>
      </w:tr>
      <w:tr>
        <w:tc>
          <w:tcPr>
            <w:tcW w:type="dxa" w:w="2450"/>
            <w:tcMar>
              <w:top w:w="80" w:type="dxa"/>
              <w:start w:w="120" w:type="dxa"/>
              <w:bottom w:w="80" w:type="dxa"/>
              <w:end w:w="120" w:type="dxa"/>
            </w:tcMar>
            <w:vAlign w:val="center"/>
          </w:tcPr>
          <w:p>
            <w:pPr>
              <w:spacing w:after="0" w:line="259" w:lineRule="auto"/>
            </w:pPr>
            <w:r>
              <w:rPr>
                <w:rFonts w:ascii="Calibri" w:hAnsi="Calibri"/>
                <w:color w:val="14181C"/>
                <w:sz w:val="18"/>
              </w:rPr>
              <w:t>Documento puente</w:t>
            </w:r>
          </w:p>
        </w:tc>
        <w:tc>
          <w:tcPr>
            <w:tcW w:type="dxa" w:w="4800"/>
            <w:tcMar>
              <w:top w:w="80" w:type="dxa"/>
              <w:start w:w="120" w:type="dxa"/>
              <w:bottom w:w="80" w:type="dxa"/>
              <w:end w:w="120" w:type="dxa"/>
            </w:tcMar>
            <w:vAlign w:val="center"/>
          </w:tcPr>
          <w:p>
            <w:pPr>
              <w:spacing w:after="0" w:line="259" w:lineRule="auto"/>
            </w:pPr>
            <w:r>
              <w:rPr>
                <w:rFonts w:ascii="Calibri" w:hAnsi="Calibri"/>
                <w:color w:val="14181C"/>
                <w:sz w:val="18"/>
              </w:rPr>
              <w:t>Criterios de rigor, vocabulario y continuidad del proyecto.</w:t>
            </w:r>
          </w:p>
        </w:tc>
        <w:tc>
          <w:tcPr>
            <w:tcW w:type="dxa" w:w="2110"/>
            <w:tcMar>
              <w:top w:w="80" w:type="dxa"/>
              <w:start w:w="120" w:type="dxa"/>
              <w:bottom w:w="80" w:type="dxa"/>
              <w:end w:w="120" w:type="dxa"/>
            </w:tcMar>
            <w:vAlign w:val="center"/>
          </w:tcPr>
          <w:p>
            <w:pPr>
              <w:spacing w:after="0" w:line="259" w:lineRule="auto"/>
            </w:pPr>
            <w:r>
              <w:rPr>
                <w:rFonts w:ascii="Calibri" w:hAnsi="Calibri"/>
                <w:color w:val="14181C"/>
                <w:sz w:val="18"/>
              </w:rPr>
              <w:t>Orientación</w:t>
            </w:r>
          </w:p>
        </w:tc>
      </w:tr>
      <w:tr>
        <w:tc>
          <w:tcPr>
            <w:tcW w:type="dxa" w:w="2450"/>
            <w:tcMar>
              <w:top w:w="80" w:type="dxa"/>
              <w:start w:w="120" w:type="dxa"/>
              <w:bottom w:w="80" w:type="dxa"/>
              <w:end w:w="120" w:type="dxa"/>
            </w:tcMar>
            <w:vAlign w:val="center"/>
          </w:tcPr>
          <w:p>
            <w:pPr>
              <w:spacing w:after="0" w:line="259" w:lineRule="auto"/>
            </w:pPr>
            <w:r>
              <w:rPr>
                <w:rFonts w:ascii="Calibri" w:hAnsi="Calibri"/>
                <w:color w:val="14181C"/>
                <w:sz w:val="18"/>
              </w:rPr>
              <w:t>Fichas de investigación 01–03</w:t>
            </w:r>
          </w:p>
        </w:tc>
        <w:tc>
          <w:tcPr>
            <w:tcW w:type="dxa" w:w="4800"/>
            <w:tcMar>
              <w:top w:w="80" w:type="dxa"/>
              <w:start w:w="120" w:type="dxa"/>
              <w:bottom w:w="80" w:type="dxa"/>
              <w:end w:w="120" w:type="dxa"/>
            </w:tcMar>
            <w:vAlign w:val="center"/>
          </w:tcPr>
          <w:p>
            <w:pPr>
              <w:spacing w:after="0" w:line="259" w:lineRule="auto"/>
            </w:pPr>
            <w:r>
              <w:rPr>
                <w:rFonts w:ascii="Calibri" w:hAnsi="Calibri"/>
                <w:color w:val="14181C"/>
                <w:sz w:val="18"/>
              </w:rPr>
              <w:t>GFT, coherencia de fase y geometría relacional.</w:t>
            </w:r>
          </w:p>
        </w:tc>
        <w:tc>
          <w:tcPr>
            <w:tcW w:type="dxa" w:w="2110"/>
            <w:tcMar>
              <w:top w:w="80" w:type="dxa"/>
              <w:start w:w="120" w:type="dxa"/>
              <w:bottom w:w="80" w:type="dxa"/>
              <w:end w:w="120" w:type="dxa"/>
            </w:tcMar>
            <w:vAlign w:val="center"/>
          </w:tcPr>
          <w:p>
            <w:pPr>
              <w:spacing w:after="0" w:line="259" w:lineRule="auto"/>
            </w:pPr>
            <w:r>
              <w:rPr>
                <w:rFonts w:ascii="Calibri" w:hAnsi="Calibri"/>
                <w:color w:val="14181C"/>
                <w:sz w:val="18"/>
              </w:rPr>
              <w:t>Exploratorio</w:t>
            </w:r>
          </w:p>
        </w:tc>
      </w:tr>
      <w:tr>
        <w:tc>
          <w:tcPr>
            <w:tcW w:type="dxa" w:w="2450"/>
            <w:tcMar>
              <w:top w:w="80" w:type="dxa"/>
              <w:start w:w="120" w:type="dxa"/>
              <w:bottom w:w="80" w:type="dxa"/>
              <w:end w:w="120" w:type="dxa"/>
            </w:tcMar>
            <w:vAlign w:val="center"/>
          </w:tcPr>
          <w:p>
            <w:pPr>
              <w:spacing w:after="0" w:line="259" w:lineRule="auto"/>
            </w:pPr>
            <w:r>
              <w:rPr>
                <w:rFonts w:ascii="Calibri" w:hAnsi="Calibri"/>
                <w:color w:val="14181C"/>
                <w:sz w:val="18"/>
              </w:rPr>
              <w:t>Anexos exploratorios 01–03</w:t>
            </w:r>
          </w:p>
        </w:tc>
        <w:tc>
          <w:tcPr>
            <w:tcW w:type="dxa" w:w="4800"/>
            <w:tcMar>
              <w:top w:w="80" w:type="dxa"/>
              <w:start w:w="120" w:type="dxa"/>
              <w:bottom w:w="80" w:type="dxa"/>
              <w:end w:w="120" w:type="dxa"/>
            </w:tcMar>
            <w:vAlign w:val="center"/>
          </w:tcPr>
          <w:p>
            <w:pPr>
              <w:spacing w:after="0" w:line="259" w:lineRule="auto"/>
            </w:pPr>
            <w:r>
              <w:rPr>
                <w:rFonts w:ascii="Calibri" w:hAnsi="Calibri"/>
                <w:color w:val="14181C"/>
                <w:sz w:val="18"/>
              </w:rPr>
              <w:t>Relocalización proyectiva, acoplamiento gravitoelectromagnético y direccionamiento.</w:t>
            </w:r>
          </w:p>
        </w:tc>
        <w:tc>
          <w:tcPr>
            <w:tcW w:type="dxa" w:w="2110"/>
            <w:tcMar>
              <w:top w:w="80" w:type="dxa"/>
              <w:start w:w="120" w:type="dxa"/>
              <w:bottom w:w="80" w:type="dxa"/>
              <w:end w:w="120" w:type="dxa"/>
            </w:tcMar>
            <w:vAlign w:val="center"/>
          </w:tcPr>
          <w:p>
            <w:pPr>
              <w:spacing w:after="0" w:line="259" w:lineRule="auto"/>
            </w:pPr>
            <w:r>
              <w:rPr>
                <w:rFonts w:ascii="Calibri" w:hAnsi="Calibri"/>
                <w:color w:val="14181C"/>
                <w:sz w:val="18"/>
              </w:rPr>
              <w:t>Histórico / parcial</w:t>
            </w:r>
          </w:p>
        </w:tc>
      </w:tr>
      <w:tr>
        <w:tc>
          <w:tcPr>
            <w:tcW w:type="dxa" w:w="2450"/>
            <w:tcMar>
              <w:top w:w="80" w:type="dxa"/>
              <w:start w:w="120" w:type="dxa"/>
              <w:bottom w:w="80" w:type="dxa"/>
              <w:end w:w="120" w:type="dxa"/>
            </w:tcMar>
            <w:vAlign w:val="center"/>
          </w:tcPr>
          <w:p>
            <w:pPr>
              <w:spacing w:after="0" w:line="259" w:lineRule="auto"/>
            </w:pPr>
            <w:r>
              <w:rPr>
                <w:rFonts w:ascii="Calibri" w:hAnsi="Calibri"/>
                <w:color w:val="14181C"/>
                <w:sz w:val="18"/>
              </w:rPr>
              <w:t>Estado actual y programa del picaporte</w:t>
            </w:r>
          </w:p>
        </w:tc>
        <w:tc>
          <w:tcPr>
            <w:tcW w:type="dxa" w:w="4800"/>
            <w:tcMar>
              <w:top w:w="80" w:type="dxa"/>
              <w:start w:w="120" w:type="dxa"/>
              <w:bottom w:w="80" w:type="dxa"/>
              <w:end w:w="120" w:type="dxa"/>
            </w:tcMar>
            <w:vAlign w:val="center"/>
          </w:tcPr>
          <w:p>
            <w:pPr>
              <w:spacing w:after="0" w:line="259" w:lineRule="auto"/>
            </w:pPr>
            <w:r>
              <w:rPr>
                <w:rFonts w:ascii="Calibri" w:hAnsi="Calibri"/>
                <w:color w:val="14181C"/>
                <w:sz w:val="18"/>
              </w:rPr>
              <w:t>Primera consolidación física y criterios de falsación.</w:t>
            </w:r>
          </w:p>
        </w:tc>
        <w:tc>
          <w:tcPr>
            <w:tcW w:type="dxa" w:w="2110"/>
            <w:tcMar>
              <w:top w:w="80" w:type="dxa"/>
              <w:start w:w="120" w:type="dxa"/>
              <w:bottom w:w="80" w:type="dxa"/>
              <w:end w:w="120" w:type="dxa"/>
            </w:tcMar>
            <w:vAlign w:val="center"/>
          </w:tcPr>
          <w:p>
            <w:pPr>
              <w:spacing w:after="0" w:line="259" w:lineRule="auto"/>
            </w:pPr>
            <w:r>
              <w:rPr>
                <w:rFonts w:ascii="Calibri" w:hAnsi="Calibri"/>
                <w:color w:val="14181C"/>
                <w:sz w:val="18"/>
              </w:rPr>
              <w:t>Auditoría</w:t>
            </w:r>
          </w:p>
        </w:tc>
      </w:tr>
      <w:tr>
        <w:tc>
          <w:tcPr>
            <w:tcW w:type="dxa" w:w="2450"/>
            <w:tcMar>
              <w:top w:w="80" w:type="dxa"/>
              <w:start w:w="120" w:type="dxa"/>
              <w:bottom w:w="80" w:type="dxa"/>
              <w:end w:w="120" w:type="dxa"/>
            </w:tcMar>
            <w:vAlign w:val="center"/>
          </w:tcPr>
          <w:p>
            <w:pPr>
              <w:spacing w:after="0" w:line="259" w:lineRule="auto"/>
            </w:pPr>
            <w:r>
              <w:rPr>
                <w:rFonts w:ascii="Calibri" w:hAnsi="Calibri"/>
                <w:color w:val="14181C"/>
                <w:sz w:val="18"/>
              </w:rPr>
              <w:t>Primera ronda del equipo</w:t>
            </w:r>
          </w:p>
        </w:tc>
        <w:tc>
          <w:tcPr>
            <w:tcW w:type="dxa" w:w="4800"/>
            <w:tcMar>
              <w:top w:w="80" w:type="dxa"/>
              <w:start w:w="120" w:type="dxa"/>
              <w:bottom w:w="80" w:type="dxa"/>
              <w:end w:w="120" w:type="dxa"/>
            </w:tcMar>
            <w:vAlign w:val="center"/>
          </w:tcPr>
          <w:p>
            <w:pPr>
              <w:spacing w:after="0" w:line="259" w:lineRule="auto"/>
            </w:pPr>
            <w:r>
              <w:rPr>
                <w:rFonts w:ascii="Calibri" w:hAnsi="Calibri"/>
                <w:color w:val="14181C"/>
                <w:sz w:val="18"/>
              </w:rPr>
              <w:t>Dos anclajes, acoplamiento bilateral y programa experimental crítico.</w:t>
            </w:r>
          </w:p>
        </w:tc>
        <w:tc>
          <w:tcPr>
            <w:tcW w:type="dxa" w:w="2110"/>
            <w:tcMar>
              <w:top w:w="80" w:type="dxa"/>
              <w:start w:w="120" w:type="dxa"/>
              <w:bottom w:w="80" w:type="dxa"/>
              <w:end w:w="120" w:type="dxa"/>
            </w:tcMar>
            <w:vAlign w:val="center"/>
          </w:tcPr>
          <w:p>
            <w:pPr>
              <w:spacing w:after="0" w:line="259" w:lineRule="auto"/>
            </w:pPr>
            <w:r>
              <w:rPr>
                <w:rFonts w:ascii="Calibri" w:hAnsi="Calibri"/>
                <w:color w:val="14181C"/>
                <w:sz w:val="18"/>
              </w:rPr>
              <w:t>Etapa superada</w:t>
            </w:r>
          </w:p>
        </w:tc>
      </w:tr>
      <w:tr>
        <w:tc>
          <w:tcPr>
            <w:tcW w:type="dxa" w:w="2450"/>
            <w:tcMar>
              <w:top w:w="80" w:type="dxa"/>
              <w:start w:w="120" w:type="dxa"/>
              <w:bottom w:w="80" w:type="dxa"/>
              <w:end w:w="120" w:type="dxa"/>
            </w:tcMar>
            <w:vAlign w:val="center"/>
          </w:tcPr>
          <w:p>
            <w:pPr>
              <w:spacing w:after="0" w:line="259" w:lineRule="auto"/>
            </w:pPr>
            <w:r>
              <w:rPr>
                <w:rFonts w:ascii="Calibri" w:hAnsi="Calibri"/>
                <w:color w:val="14181C"/>
                <w:sz w:val="18"/>
              </w:rPr>
              <w:t>Segunda ronda del equipo</w:t>
            </w:r>
          </w:p>
        </w:tc>
        <w:tc>
          <w:tcPr>
            <w:tcW w:type="dxa" w:w="4800"/>
            <w:tcMar>
              <w:top w:w="80" w:type="dxa"/>
              <w:start w:w="120" w:type="dxa"/>
              <w:bottom w:w="80" w:type="dxa"/>
              <w:end w:w="120" w:type="dxa"/>
            </w:tcMar>
            <w:vAlign w:val="center"/>
          </w:tcPr>
          <w:p>
            <w:pPr>
              <w:spacing w:after="0" w:line="259" w:lineRule="auto"/>
            </w:pPr>
            <w:r>
              <w:rPr>
                <w:rFonts w:ascii="Calibri" w:hAnsi="Calibri"/>
                <w:color w:val="14181C"/>
                <w:sz w:val="18"/>
              </w:rPr>
              <w:t>Desanclaje, reanclaje y mecanismos de transferencia.</w:t>
            </w:r>
          </w:p>
        </w:tc>
        <w:tc>
          <w:tcPr>
            <w:tcW w:type="dxa" w:w="2110"/>
            <w:tcMar>
              <w:top w:w="80" w:type="dxa"/>
              <w:start w:w="120" w:type="dxa"/>
              <w:bottom w:w="80" w:type="dxa"/>
              <w:end w:w="120" w:type="dxa"/>
            </w:tcMar>
            <w:vAlign w:val="center"/>
          </w:tcPr>
          <w:p>
            <w:pPr>
              <w:spacing w:after="0" w:line="259" w:lineRule="auto"/>
            </w:pPr>
            <w:r>
              <w:rPr>
                <w:rFonts w:ascii="Calibri" w:hAnsi="Calibri"/>
                <w:color w:val="14181C"/>
                <w:sz w:val="18"/>
              </w:rPr>
              <w:t>Etapa superada</w:t>
            </w:r>
          </w:p>
        </w:tc>
      </w:tr>
      <w:tr>
        <w:tc>
          <w:tcPr>
            <w:tcW w:type="dxa" w:w="2450"/>
            <w:tcMar>
              <w:top w:w="80" w:type="dxa"/>
              <w:start w:w="120" w:type="dxa"/>
              <w:bottom w:w="80" w:type="dxa"/>
              <w:end w:w="120" w:type="dxa"/>
            </w:tcMar>
            <w:vAlign w:val="center"/>
          </w:tcPr>
          <w:p>
            <w:pPr>
              <w:spacing w:after="0" w:line="259" w:lineRule="auto"/>
            </w:pPr>
            <w:r>
              <w:rPr>
                <w:rFonts w:ascii="Calibri" w:hAnsi="Calibri"/>
                <w:color w:val="14181C"/>
                <w:sz w:val="18"/>
              </w:rPr>
              <w:t>Desarrollo posterior</w:t>
            </w:r>
          </w:p>
        </w:tc>
        <w:tc>
          <w:tcPr>
            <w:tcW w:type="dxa" w:w="4800"/>
            <w:tcMar>
              <w:top w:w="80" w:type="dxa"/>
              <w:start w:w="120" w:type="dxa"/>
              <w:bottom w:w="80" w:type="dxa"/>
              <w:end w:w="120" w:type="dxa"/>
            </w:tcMar>
            <w:vAlign w:val="center"/>
          </w:tcPr>
          <w:p>
            <w:pPr>
              <w:spacing w:after="0" w:line="259" w:lineRule="auto"/>
            </w:pPr>
            <w:r>
              <w:rPr>
                <w:rFonts w:ascii="Calibri" w:hAnsi="Calibri"/>
                <w:color w:val="14181C"/>
                <w:sz w:val="18"/>
              </w:rPr>
              <w:t>Retorno a la burbuja, portal relacional, apertura local y revisión científica.</w:t>
            </w:r>
          </w:p>
        </w:tc>
        <w:tc>
          <w:tcPr>
            <w:tcW w:type="dxa" w:w="2110"/>
            <w:tcMar>
              <w:top w:w="80" w:type="dxa"/>
              <w:start w:w="120" w:type="dxa"/>
              <w:bottom w:w="80" w:type="dxa"/>
              <w:end w:w="120" w:type="dxa"/>
            </w:tcMar>
            <w:vAlign w:val="center"/>
          </w:tcPr>
          <w:p>
            <w:pPr>
              <w:spacing w:after="0" w:line="259" w:lineRule="auto"/>
            </w:pPr>
            <w:r>
              <w:rPr>
                <w:rFonts w:ascii="Calibri" w:hAnsi="Calibri"/>
                <w:color w:val="14181C"/>
                <w:sz w:val="18"/>
              </w:rPr>
              <w:t>Núcleo vigente</w:t>
            </w:r>
          </w:p>
        </w:tc>
      </w:tr>
    </w:tbl>
    <w:p>
      <w:pPr>
        <w:spacing w:after="20"/>
        <w:widowControl/>
      </w:pPr>
    </w:p>
    <w:p>
      <w:pPr>
        <w:widowControl/>
      </w:pPr>
      <w:r>
        <w:rPr>
          <w:rFonts w:ascii="Calibri" w:hAnsi="Calibri"/>
          <w:i w:val="0"/>
          <w:color w:val="14181C"/>
        </w:rPr>
        <w:t>El archivo completo puede solicitarse para estudio, crítica o investigación a través de cesar-medrano.com. Inicialmente se facilitará acompañado de una nota de orientación que distinga lo vigente, histórico, aplazado y descartado.</w:t>
      </w:r>
    </w:p>
    <w:p>
      <w:pPr>
        <w:pStyle w:val="Heading1"/>
        <w:keepNext/>
        <w:widowControl/>
      </w:pPr>
      <w:r>
        <w:t>14. Referencias científicas seleccionadas</w:t>
      </w:r>
    </w:p>
    <w:p>
      <w:pPr>
        <w:pStyle w:val="Smallnote"/>
        <w:ind w:left="317" w:hanging="317"/>
        <w:widowControl/>
      </w:pPr>
      <w:r>
        <w:rPr>
          <w:rFonts w:ascii="Calibri" w:hAnsi="Calibri"/>
          <w:color w:val="14181C"/>
          <w:sz w:val="17"/>
        </w:rPr>
        <w:t>Hawking, S. W. (1988). “Wormholes in Spacetime”. Physical Review D 37, 904. https://doi.org/10.1103/PhysRevD.37.904</w:t>
      </w:r>
    </w:p>
    <w:p>
      <w:pPr>
        <w:pStyle w:val="Smallnote"/>
        <w:ind w:left="317" w:hanging="317"/>
        <w:widowControl/>
      </w:pPr>
      <w:r>
        <w:rPr>
          <w:rFonts w:ascii="Calibri" w:hAnsi="Calibri"/>
          <w:color w:val="14181C"/>
          <w:sz w:val="17"/>
        </w:rPr>
        <w:t>Hawking, S. W. (1992). “Chronology Protection Conjecture”. Physical Review D 46, 603. https://doi.org/10.1103/PhysRevD.46.603</w:t>
      </w:r>
    </w:p>
    <w:p>
      <w:pPr>
        <w:pStyle w:val="Smallnote"/>
        <w:ind w:left="317" w:hanging="317"/>
        <w:widowControl/>
      </w:pPr>
      <w:r>
        <w:rPr>
          <w:rFonts w:ascii="Calibri" w:hAnsi="Calibri"/>
          <w:color w:val="14181C"/>
          <w:sz w:val="17"/>
        </w:rPr>
        <w:t>Rosi, G. et al. (2015). “Measurement of the Gravity-Field Curvature by Atom Interferometry”. Physical Review Letters 114, 013001. https://doi.org/10.1103/PhysRevLett.114.013001</w:t>
      </w:r>
    </w:p>
    <w:p>
      <w:pPr>
        <w:pStyle w:val="Smallnote"/>
        <w:ind w:left="317" w:hanging="317"/>
        <w:widowControl/>
      </w:pPr>
      <w:r>
        <w:rPr>
          <w:rFonts w:ascii="Calibri" w:hAnsi="Calibri"/>
          <w:color w:val="14181C"/>
          <w:sz w:val="17"/>
        </w:rPr>
        <w:t>Asenbaum, P. et al. (2017). “Phase Shift in an Atom Interferometer due to Spacetime Curvature across its Wave Function”. Physical Review Letters 118, 183602. https://doi.org/10.1103/PhysRevLett.118.183602</w:t>
      </w:r>
    </w:p>
    <w:p>
      <w:pPr>
        <w:pStyle w:val="Smallnote"/>
        <w:ind w:left="317" w:hanging="317"/>
        <w:widowControl/>
      </w:pPr>
      <w:r>
        <w:rPr>
          <w:rFonts w:ascii="Calibri" w:hAnsi="Calibri"/>
          <w:color w:val="14181C"/>
          <w:sz w:val="17"/>
        </w:rPr>
        <w:t>Abbott, B. P. et al. (2016). “Observation of Gravitational Waves from a Binary Black Hole Merger”. Physical Review Letters 116, 061102. https://doi.org/10.1103/PhysRevLett.116.061102</w:t>
      </w:r>
    </w:p>
    <w:p>
      <w:pPr>
        <w:pStyle w:val="Smallnote"/>
        <w:ind w:left="317" w:hanging="317"/>
        <w:widowControl/>
      </w:pPr>
      <w:r>
        <w:rPr>
          <w:rFonts w:ascii="Calibri" w:hAnsi="Calibri"/>
          <w:color w:val="14181C"/>
          <w:sz w:val="17"/>
        </w:rPr>
        <w:t>Wilson, C. M. et al. (2011). “Observation of the Dynamical Casimir Effect in a Superconducting Circuit”. Nature 479, 376–379. https://doi.org/10.1038/nature10561</w:t>
      </w:r>
    </w:p>
    <w:p>
      <w:pPr>
        <w:pStyle w:val="Smallnote"/>
        <w:ind w:left="317" w:hanging="317"/>
        <w:widowControl/>
      </w:pPr>
      <w:r>
        <w:rPr>
          <w:rFonts w:ascii="Calibri" w:hAnsi="Calibri"/>
          <w:color w:val="14181C"/>
          <w:sz w:val="17"/>
        </w:rPr>
        <w:t>Steinhauer, J. (2016). “Observation of Quantum Hawking Radiation and its Entanglement in an Analogue Black Hole”. Nature Physics 12, 959–965. https://doi.org/10.1038/nphys3863</w:t>
      </w:r>
    </w:p>
    <w:p>
      <w:pPr>
        <w:pStyle w:val="Smallnote"/>
        <w:ind w:left="317" w:hanging="317"/>
        <w:widowControl/>
      </w:pPr>
      <w:r>
        <w:rPr>
          <w:rFonts w:ascii="Calibri" w:hAnsi="Calibri"/>
          <w:color w:val="14181C"/>
          <w:sz w:val="17"/>
        </w:rPr>
        <w:t>Gao, P.; Jafferis, D. L.; Wall, A. C. (2017). “Traversable Wormholes via a Double Trace Deformation”. Journal of High Energy Physics 2017, 151. https://arxiv.org/abs/1608.05687</w:t>
      </w:r>
    </w:p>
    <w:p>
      <w:pPr>
        <w:pStyle w:val="Smallnote"/>
        <w:ind w:left="317" w:hanging="317"/>
        <w:widowControl/>
      </w:pPr>
      <w:r>
        <w:rPr>
          <w:rFonts w:ascii="Calibri" w:hAnsi="Calibri"/>
          <w:color w:val="14181C"/>
          <w:sz w:val="17"/>
        </w:rPr>
        <w:t>Van Raamsdonk, M. (2010). “Building up Spacetime with Quantum Entanglement”. General Relativity and Gravitation 42, 2323–2329. https://arxiv.org/abs/1005.3035</w:t>
      </w:r>
    </w:p>
    <w:p>
      <w:pPr>
        <w:pStyle w:val="Smallnote"/>
        <w:ind w:left="317" w:hanging="317"/>
        <w:widowControl/>
      </w:pPr>
      <w:r>
        <w:rPr>
          <w:rFonts w:ascii="Calibri" w:hAnsi="Calibri"/>
          <w:color w:val="14181C"/>
          <w:sz w:val="17"/>
        </w:rPr>
        <w:t>Konopka, T.; Markopoulou, F.; Severini, S. (2008). “Quantum Graphity: a Model of Emergent Locality”. Physical Review D 77, 104029. https://doi.org/10.1103/PhysRevD.77.104029</w:t>
      </w:r>
    </w:p>
    <w:p>
      <w:pPr>
        <w:pStyle w:val="Smallnote"/>
        <w:ind w:left="317" w:hanging="317"/>
        <w:widowControl/>
      </w:pPr>
      <w:r>
        <w:rPr>
          <w:rFonts w:ascii="Calibri" w:hAnsi="Calibri"/>
          <w:color w:val="14181C"/>
          <w:sz w:val="17"/>
        </w:rPr>
        <w:t>Borde, A. (1994). “Topology Change in Classical General Relativity”. https://arxiv.org/abs/gr-qc/9406053</w:t>
      </w:r>
    </w:p>
    <w:p>
      <w:pPr>
        <w:pStyle w:val="Smallnote"/>
        <w:ind w:left="317" w:hanging="317"/>
        <w:widowControl/>
      </w:pPr>
      <w:r>
        <w:rPr>
          <w:rFonts w:ascii="Calibri" w:hAnsi="Calibri"/>
          <w:color w:val="14181C"/>
          <w:sz w:val="17"/>
        </w:rPr>
        <w:t>Kontou, E.-A. (2024). “Wormhole Restrictions from Quantum Energy Inequalities”. https://arxiv.org/abs/2405.05963</w:t>
      </w:r>
    </w:p>
    <w:p>
      <w:pPr>
        <w:spacing w:before="440"/>
        <w:jc w:val="center"/>
        <w:widowControl/>
      </w:pPr>
      <w:r>
        <w:rPr>
          <w:rFonts w:ascii="Calibri" w:hAnsi="Calibri"/>
          <w:b/>
          <w:color w:val="2E74B5"/>
          <w:sz w:val="20"/>
        </w:rPr>
        <w:t>Documento abierto a revisión, crítica y continuación independiente.</w:t>
      </w:r>
    </w:p>
    <w:sectPr w:rsidR="00FC693F" w:rsidRPr="0006063C" w:rsidSect="00034616">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
      <w:rPr>
        <w:rFonts w:ascii="Calibri" w:hAnsi="Calibri"/>
        <w:color w:val="5A646E"/>
        <w:sz w:val="17"/>
      </w:rPr>
      <w:t>César Medrano  ·  Agosto de 2026</w:t>
    </w:r>
    <w:r>
      <w:rPr>
        <w:rFonts w:ascii="Calibri" w:hAnsi="Calibri"/>
        <w:sz w:val="17"/>
      </w:rPr>
      <w:t xml:space="preserve">                                      </w:t>
    </w:r>
    <w:r>
      <w:rPr>
        <w:rFonts w:ascii="Calibri" w:hAnsi="Calibri"/>
        <w:color w:val="5A646E"/>
        <w:sz w:val="18"/>
      </w:rP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
      <w:rPr>
        <w:rFonts w:ascii="Calibri" w:hAnsi="Calibri"/>
        <w:b/>
        <w:color w:val="5A646E"/>
        <w:sz w:val="17"/>
      </w:rPr>
      <w:t>PORTAL RELACIONAL  |  DOCUMENTO EXPLORATORIO</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60" w:line="320" w:lineRule="auto"/>
      <w:jc w:val="both"/>
    </w:pPr>
    <w:rPr>
      <w:rFonts w:ascii="Calibri" w:hAnsi="Calibri"/>
      <w:color w:val="14181C"/>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Calibri" w:hAnsi="Calibr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Calibri" w:hAnsi="Calibr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alibri" w:hAnsi="Calibr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90" w:lineRule="auto"/>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80" w:line="290" w:lineRule="auto"/>
      <w:contextualSpacing/>
    </w:pPr>
    <w:rPr>
      <w:rFonts w:ascii="Calibri" w:hAnsi="Calibri"/>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mallnote">
    <w:name w:val="Small note"/>
    <w:pPr>
      <w:spacing w:after="80" w:line="264" w:lineRule="auto"/>
    </w:pPr>
    <w:rPr>
      <w:rFonts w:ascii="Calibri" w:hAnsi="Calibri"/>
      <w:color w:val="5A646E"/>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¿Puede abrirse una puerta entre dos puntos de la realidad?</dc:title>
  <dc:subject>Documento exploratorio sobre continuidad, adyacencia y espacio-tiempo</dc:subject>
  <dc:creator>César Medrano</dc:creator>
  <cp:keywords>MFU, portal relacional, adyacencia, espacio-tiempo, hipótesis exploratoria</cp:keywords>
  <dc:description>Documento público de síntesis; no presenta una teoría demostrada.</dc:description>
  <cp:lastModifiedBy/>
  <cp:revision>1</cp:revision>
  <dcterms:created xsi:type="dcterms:W3CDTF">2013-12-23T23:15:00Z</dcterms:created>
  <dcterms:modified xsi:type="dcterms:W3CDTF">2013-12-23T23:15:00Z</dcterms:modified>
  <cp:category/>
</cp:coreProperties>
</file>